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A5E" w:rsidRDefault="00CC2A5E" w:rsidP="00CC2A5E">
      <w:pPr>
        <w:spacing w:after="0" w:line="240" w:lineRule="auto"/>
        <w:rPr>
          <w:rFonts w:ascii="Times New Roman" w:hAnsi="Times New Roman"/>
          <w:sz w:val="24"/>
          <w:szCs w:val="24"/>
          <w:lang w:eastAsia="en-GB"/>
        </w:rPr>
      </w:pPr>
      <w:r>
        <w:rPr>
          <w:rFonts w:ascii="Times New Roman" w:hAnsi="Times New Roman"/>
          <w:sz w:val="24"/>
          <w:szCs w:val="24"/>
          <w:lang w:eastAsia="en-GB"/>
        </w:rPr>
        <w:t xml:space="preserve">Malaysian Journal of Analytical </w:t>
      </w:r>
      <w:r w:rsidR="0074262F">
        <w:rPr>
          <w:rFonts w:ascii="Times New Roman" w:hAnsi="Times New Roman"/>
          <w:sz w:val="24"/>
          <w:szCs w:val="24"/>
          <w:lang w:eastAsia="en-GB"/>
        </w:rPr>
        <w:t>Sciences Vol 19 No 2 (2015): 402 – 40</w:t>
      </w:r>
      <w:bookmarkStart w:id="0" w:name="_GoBack"/>
      <w:bookmarkEnd w:id="0"/>
      <w:r w:rsidR="001C3E4F">
        <w:rPr>
          <w:rFonts w:ascii="Times New Roman" w:hAnsi="Times New Roman"/>
          <w:sz w:val="24"/>
          <w:szCs w:val="24"/>
          <w:lang w:eastAsia="en-GB"/>
        </w:rPr>
        <w:t>5</w:t>
      </w:r>
    </w:p>
    <w:p w:rsidR="00CC2A5E" w:rsidRDefault="00CC2A5E" w:rsidP="00CC2A5E">
      <w:pPr>
        <w:spacing w:after="0" w:line="240" w:lineRule="auto"/>
        <w:rPr>
          <w:rFonts w:ascii="Times New Roman" w:hAnsi="Times New Roman"/>
          <w:sz w:val="24"/>
          <w:szCs w:val="24"/>
          <w:lang w:eastAsia="en-GB"/>
        </w:rPr>
      </w:pPr>
    </w:p>
    <w:p w:rsidR="00CC2A5E" w:rsidRDefault="00CC2A5E" w:rsidP="00CC2A5E">
      <w:pPr>
        <w:spacing w:after="0" w:line="240" w:lineRule="auto"/>
        <w:rPr>
          <w:rFonts w:ascii="Times New Roman" w:hAnsi="Times New Roman"/>
          <w:sz w:val="24"/>
          <w:szCs w:val="24"/>
          <w:lang w:eastAsia="en-GB"/>
        </w:rPr>
      </w:pPr>
    </w:p>
    <w:p w:rsidR="00CC2A5E" w:rsidRPr="00CC2A5E" w:rsidRDefault="00CC2A5E" w:rsidP="00CC2A5E">
      <w:pPr>
        <w:spacing w:after="0" w:line="240" w:lineRule="auto"/>
        <w:rPr>
          <w:rFonts w:ascii="Times New Roman" w:hAnsi="Times New Roman"/>
          <w:sz w:val="24"/>
          <w:szCs w:val="24"/>
          <w:lang w:eastAsia="en-GB"/>
        </w:rPr>
      </w:pPr>
    </w:p>
    <w:p w:rsidR="00CC2A5E" w:rsidRPr="009D348A" w:rsidRDefault="00CC2A5E" w:rsidP="00CC2A5E">
      <w:pPr>
        <w:spacing w:after="0" w:line="240" w:lineRule="auto"/>
        <w:jc w:val="center"/>
        <w:rPr>
          <w:rFonts w:ascii="Times New Roman" w:hAnsi="Times New Roman"/>
          <w:sz w:val="28"/>
          <w:szCs w:val="32"/>
          <w:lang w:eastAsia="en-GB"/>
        </w:rPr>
      </w:pPr>
      <w:r w:rsidRPr="009D348A">
        <w:rPr>
          <w:rFonts w:ascii="Times New Roman" w:hAnsi="Times New Roman"/>
          <w:sz w:val="28"/>
          <w:szCs w:val="32"/>
          <w:lang w:eastAsia="en-GB"/>
        </w:rPr>
        <w:t>EFFECT OF RADIATION ON THE VIABILITY OF HepG2 CANCER CELL LINE TARGETED WITH DIFFERENT AMOUNT OF RADIOSENSITIZER</w:t>
      </w:r>
    </w:p>
    <w:p w:rsidR="00CC2A5E" w:rsidRPr="00802DCC" w:rsidRDefault="00CC2A5E" w:rsidP="00CC2A5E">
      <w:pPr>
        <w:spacing w:after="0" w:line="240" w:lineRule="auto"/>
        <w:jc w:val="center"/>
        <w:rPr>
          <w:rFonts w:ascii="Times New Roman" w:hAnsi="Times New Roman"/>
          <w:noProof/>
          <w:sz w:val="24"/>
          <w:szCs w:val="24"/>
          <w:lang w:bidi="ar-SA"/>
        </w:rPr>
      </w:pPr>
    </w:p>
    <w:p w:rsidR="00CC2A5E" w:rsidRPr="00802DCC" w:rsidRDefault="00CC2A5E" w:rsidP="00CC2A5E">
      <w:pPr>
        <w:spacing w:after="0" w:line="240" w:lineRule="auto"/>
        <w:jc w:val="center"/>
        <w:rPr>
          <w:rFonts w:ascii="Times New Roman" w:hAnsi="Times New Roman"/>
          <w:noProof/>
          <w:sz w:val="20"/>
          <w:szCs w:val="20"/>
          <w:lang w:bidi="ar-SA"/>
        </w:rPr>
      </w:pPr>
      <w:r w:rsidRPr="009D348A">
        <w:rPr>
          <w:rFonts w:ascii="Times New Roman" w:hAnsi="Times New Roman"/>
          <w:sz w:val="24"/>
          <w:szCs w:val="24"/>
          <w:lang w:eastAsia="en-GB"/>
        </w:rPr>
        <w:t>(</w:t>
      </w:r>
      <w:r w:rsidRPr="009D348A">
        <w:rPr>
          <w:rFonts w:ascii="Times New Roman" w:hAnsi="Times New Roman"/>
          <w:sz w:val="24"/>
          <w:szCs w:val="24"/>
        </w:rPr>
        <w:t>Kesan Sinaran Terhadap Kemandirian Sel Kanser HepG2 Yang Disasar Dengan Pelbagai Isipadu Pemeka Sinaran)</w:t>
      </w:r>
      <w:r w:rsidRPr="009D348A">
        <w:rPr>
          <w:rFonts w:ascii="Times New Roman" w:hAnsi="Times New Roman"/>
          <w:sz w:val="24"/>
          <w:szCs w:val="24"/>
          <w:lang w:eastAsia="en-GB"/>
        </w:rPr>
        <w:t xml:space="preserve"> </w:t>
      </w:r>
      <w:r w:rsidRPr="009D348A">
        <w:rPr>
          <w:rFonts w:ascii="Times New Roman" w:hAnsi="Times New Roman"/>
          <w:sz w:val="24"/>
          <w:szCs w:val="24"/>
          <w:lang w:eastAsia="en-GB"/>
        </w:rPr>
        <w:br/>
      </w:r>
    </w:p>
    <w:p w:rsidR="00CC2A5E" w:rsidRPr="00891CF7" w:rsidRDefault="00CC2A5E" w:rsidP="00CC2A5E">
      <w:pPr>
        <w:spacing w:after="0" w:line="240" w:lineRule="auto"/>
        <w:jc w:val="center"/>
        <w:rPr>
          <w:rFonts w:ascii="Times New Roman" w:hAnsi="Times New Roman"/>
          <w:color w:val="000000"/>
          <w:sz w:val="20"/>
          <w:szCs w:val="20"/>
          <w:shd w:val="clear" w:color="auto" w:fill="FFFFFF"/>
          <w:vertAlign w:val="superscript"/>
        </w:rPr>
      </w:pPr>
      <w:r w:rsidRPr="00891CF7">
        <w:rPr>
          <w:rFonts w:ascii="Times New Roman" w:hAnsi="Times New Roman"/>
          <w:color w:val="000000"/>
          <w:sz w:val="20"/>
          <w:szCs w:val="20"/>
          <w:shd w:val="clear" w:color="auto" w:fill="FFFFFF"/>
        </w:rPr>
        <w:t>Cheong Kai Heng, Faizal Mohamed</w:t>
      </w:r>
      <w:r>
        <w:rPr>
          <w:rFonts w:ascii="Times New Roman" w:hAnsi="Times New Roman"/>
          <w:color w:val="000000"/>
          <w:sz w:val="20"/>
          <w:szCs w:val="20"/>
          <w:shd w:val="clear" w:color="auto" w:fill="FFFFFF"/>
        </w:rPr>
        <w:t xml:space="preserve">*,  </w:t>
      </w:r>
      <w:r w:rsidRPr="00891CF7">
        <w:rPr>
          <w:rFonts w:ascii="Times New Roman" w:hAnsi="Times New Roman"/>
          <w:color w:val="000000"/>
          <w:sz w:val="20"/>
          <w:szCs w:val="20"/>
          <w:shd w:val="clear" w:color="auto" w:fill="FFFFFF"/>
        </w:rPr>
        <w:t>Irman Abdul Rahman</w:t>
      </w:r>
    </w:p>
    <w:p w:rsidR="00CC2A5E" w:rsidRPr="00CC2A5E" w:rsidRDefault="00CC2A5E" w:rsidP="00CC2A5E">
      <w:pPr>
        <w:spacing w:after="0" w:line="240" w:lineRule="auto"/>
        <w:jc w:val="center"/>
        <w:rPr>
          <w:rFonts w:ascii="Times New Roman" w:hAnsi="Times New Roman"/>
          <w:noProof/>
          <w:sz w:val="20"/>
          <w:szCs w:val="20"/>
          <w:lang w:bidi="ar-SA"/>
        </w:rPr>
      </w:pPr>
    </w:p>
    <w:p w:rsidR="00CC2A5E" w:rsidRPr="00CC2A5E" w:rsidRDefault="00CC2A5E" w:rsidP="00CC2A5E">
      <w:pPr>
        <w:spacing w:after="0" w:line="240" w:lineRule="auto"/>
        <w:jc w:val="center"/>
        <w:rPr>
          <w:rFonts w:ascii="Times New Roman" w:hAnsi="Times New Roman"/>
          <w:i/>
          <w:iCs/>
          <w:color w:val="000000"/>
          <w:sz w:val="20"/>
          <w:szCs w:val="20"/>
          <w:shd w:val="clear" w:color="auto" w:fill="FFFFFF"/>
        </w:rPr>
      </w:pPr>
      <w:r w:rsidRPr="00CC2A5E">
        <w:rPr>
          <w:rFonts w:ascii="Times New Roman" w:hAnsi="Times New Roman"/>
          <w:i/>
          <w:iCs/>
          <w:color w:val="000000"/>
          <w:sz w:val="20"/>
          <w:szCs w:val="20"/>
          <w:shd w:val="clear" w:color="auto" w:fill="FFFFFF"/>
        </w:rPr>
        <w:t xml:space="preserve">School of Applied Physics, Faculty Science and Technology, </w:t>
      </w:r>
    </w:p>
    <w:p w:rsidR="00CC2A5E" w:rsidRPr="00CC2A5E" w:rsidRDefault="00CC2A5E" w:rsidP="00CC2A5E">
      <w:pPr>
        <w:spacing w:after="0" w:line="240" w:lineRule="auto"/>
        <w:jc w:val="center"/>
        <w:rPr>
          <w:rFonts w:ascii="Times New Roman" w:hAnsi="Times New Roman"/>
          <w:i/>
          <w:iCs/>
          <w:color w:val="000000"/>
          <w:sz w:val="20"/>
          <w:szCs w:val="20"/>
          <w:shd w:val="clear" w:color="auto" w:fill="FFFFFF"/>
        </w:rPr>
      </w:pPr>
      <w:r w:rsidRPr="00CC2A5E">
        <w:rPr>
          <w:rFonts w:ascii="Times New Roman" w:hAnsi="Times New Roman"/>
          <w:i/>
          <w:iCs/>
          <w:color w:val="000000"/>
          <w:sz w:val="20"/>
          <w:szCs w:val="20"/>
          <w:shd w:val="clear" w:color="auto" w:fill="FFFFFF"/>
        </w:rPr>
        <w:t>Universiti Kebangsaan Malaysia, 43600 UKM Bangi, Selangor, Malaysia</w:t>
      </w:r>
    </w:p>
    <w:p w:rsidR="00CC2A5E" w:rsidRPr="00CC2A5E" w:rsidRDefault="00CC2A5E" w:rsidP="00CC2A5E">
      <w:pPr>
        <w:spacing w:after="0" w:line="240" w:lineRule="auto"/>
        <w:jc w:val="center"/>
        <w:rPr>
          <w:rFonts w:ascii="Times New Roman" w:hAnsi="Times New Roman"/>
          <w:noProof/>
          <w:sz w:val="20"/>
          <w:szCs w:val="20"/>
          <w:lang w:bidi="ar-SA"/>
        </w:rPr>
      </w:pPr>
    </w:p>
    <w:p w:rsidR="00CC2A5E" w:rsidRPr="00CC2A5E" w:rsidRDefault="00CC2A5E" w:rsidP="00CC2A5E">
      <w:pPr>
        <w:spacing w:after="0" w:line="240" w:lineRule="auto"/>
        <w:jc w:val="center"/>
        <w:rPr>
          <w:rFonts w:ascii="Times New Roman" w:hAnsi="Times New Roman"/>
          <w:sz w:val="20"/>
          <w:szCs w:val="20"/>
          <w:lang w:eastAsia="en-GB"/>
        </w:rPr>
      </w:pPr>
      <w:r w:rsidRPr="00CC2A5E">
        <w:rPr>
          <w:rFonts w:ascii="Times New Roman" w:hAnsi="Times New Roman"/>
          <w:i/>
          <w:noProof/>
          <w:sz w:val="20"/>
          <w:szCs w:val="20"/>
          <w:lang w:bidi="ar-SA"/>
        </w:rPr>
        <w:t xml:space="preserve">*Corresponding author: </w:t>
      </w:r>
      <w:r w:rsidRPr="00CC2A5E">
        <w:rPr>
          <w:rFonts w:ascii="Times New Roman" w:hAnsi="Times New Roman"/>
          <w:i/>
          <w:iCs/>
          <w:sz w:val="20"/>
          <w:szCs w:val="20"/>
          <w:lang w:eastAsia="en-GB"/>
        </w:rPr>
        <w:t>faizalm@ukm.edu.my</w:t>
      </w:r>
    </w:p>
    <w:p w:rsidR="00CC2A5E" w:rsidRPr="00CC2A5E" w:rsidRDefault="00CC2A5E" w:rsidP="00CC2A5E">
      <w:pPr>
        <w:spacing w:after="0" w:line="240" w:lineRule="auto"/>
        <w:jc w:val="center"/>
        <w:rPr>
          <w:rFonts w:ascii="Times New Roman" w:hAnsi="Times New Roman"/>
          <w:i/>
          <w:noProof/>
          <w:sz w:val="20"/>
          <w:szCs w:val="20"/>
          <w:lang w:bidi="ar-SA"/>
        </w:rPr>
      </w:pPr>
    </w:p>
    <w:p w:rsidR="00CC2A5E" w:rsidRPr="00CC2A5E" w:rsidRDefault="00CC2A5E" w:rsidP="00CC2A5E">
      <w:pPr>
        <w:spacing w:after="0" w:line="240" w:lineRule="auto"/>
        <w:jc w:val="center"/>
        <w:rPr>
          <w:rFonts w:ascii="Times New Roman" w:hAnsi="Times New Roman"/>
          <w:i/>
          <w:noProof/>
          <w:sz w:val="20"/>
          <w:szCs w:val="20"/>
          <w:lang w:bidi="ar-SA"/>
        </w:rPr>
      </w:pPr>
    </w:p>
    <w:p w:rsidR="00CC2A5E" w:rsidRPr="00CC2A5E" w:rsidRDefault="00CC2A5E" w:rsidP="00CC2A5E">
      <w:pPr>
        <w:spacing w:after="0" w:line="240" w:lineRule="auto"/>
        <w:jc w:val="center"/>
        <w:rPr>
          <w:rFonts w:ascii="Times New Roman" w:hAnsi="Times New Roman"/>
          <w:noProof/>
          <w:sz w:val="20"/>
          <w:szCs w:val="20"/>
          <w:lang w:bidi="ar-SA"/>
        </w:rPr>
      </w:pPr>
      <w:r w:rsidRPr="00CC2A5E">
        <w:rPr>
          <w:rFonts w:ascii="Times New Roman" w:hAnsi="Times New Roman"/>
          <w:noProof/>
          <w:sz w:val="20"/>
          <w:szCs w:val="20"/>
          <w:lang w:bidi="ar-SA"/>
        </w:rPr>
        <w:t>Received: 8 December 2014; Accepted: 14 January 2015</w:t>
      </w:r>
    </w:p>
    <w:p w:rsidR="00CC2A5E" w:rsidRPr="00CC2A5E" w:rsidRDefault="00CC2A5E" w:rsidP="00CC2A5E">
      <w:pPr>
        <w:spacing w:after="0" w:line="240" w:lineRule="auto"/>
        <w:jc w:val="center"/>
        <w:rPr>
          <w:rFonts w:ascii="Times New Roman" w:hAnsi="Times New Roman"/>
          <w:noProof/>
          <w:sz w:val="20"/>
          <w:szCs w:val="20"/>
          <w:lang w:bidi="ar-SA"/>
        </w:rPr>
      </w:pPr>
    </w:p>
    <w:p w:rsidR="00CC2A5E" w:rsidRPr="00CC2A5E" w:rsidRDefault="00CC2A5E" w:rsidP="00CC2A5E">
      <w:pPr>
        <w:spacing w:after="0" w:line="240" w:lineRule="auto"/>
        <w:jc w:val="center"/>
        <w:rPr>
          <w:rFonts w:ascii="Times New Roman" w:hAnsi="Times New Roman"/>
          <w:noProof/>
          <w:sz w:val="20"/>
          <w:szCs w:val="20"/>
          <w:lang w:bidi="ar-SA"/>
        </w:rPr>
      </w:pPr>
    </w:p>
    <w:p w:rsidR="00CC2A5E" w:rsidRPr="00CC2A5E" w:rsidRDefault="00CC2A5E" w:rsidP="00CC2A5E">
      <w:pPr>
        <w:spacing w:after="0" w:line="240" w:lineRule="auto"/>
        <w:jc w:val="center"/>
        <w:rPr>
          <w:rFonts w:ascii="Times New Roman" w:hAnsi="Times New Roman"/>
          <w:b/>
          <w:noProof/>
          <w:sz w:val="20"/>
          <w:szCs w:val="20"/>
          <w:lang w:bidi="ar-SA"/>
        </w:rPr>
      </w:pPr>
      <w:r w:rsidRPr="00CC2A5E">
        <w:rPr>
          <w:rFonts w:ascii="Times New Roman" w:hAnsi="Times New Roman"/>
          <w:b/>
          <w:noProof/>
          <w:sz w:val="20"/>
          <w:szCs w:val="20"/>
          <w:lang w:bidi="ar-SA"/>
        </w:rPr>
        <w:t>Abstract</w:t>
      </w:r>
    </w:p>
    <w:p w:rsidR="00CC2A5E" w:rsidRPr="00CC2A5E" w:rsidRDefault="00CC2A5E" w:rsidP="00CC2A5E">
      <w:pPr>
        <w:spacing w:after="0" w:line="240" w:lineRule="auto"/>
        <w:jc w:val="both"/>
        <w:rPr>
          <w:rFonts w:ascii="Times New Roman" w:hAnsi="Times New Roman"/>
          <w:color w:val="000000"/>
          <w:sz w:val="20"/>
          <w:szCs w:val="20"/>
          <w:shd w:val="clear" w:color="auto" w:fill="FFFFFF"/>
        </w:rPr>
      </w:pPr>
      <w:r w:rsidRPr="00CC2A5E">
        <w:rPr>
          <w:rFonts w:ascii="Times New Roman" w:hAnsi="Times New Roman"/>
          <w:color w:val="000000"/>
          <w:sz w:val="20"/>
          <w:szCs w:val="20"/>
          <w:shd w:val="clear" w:color="auto" w:fill="FFFFFF"/>
        </w:rPr>
        <w:t>Radiosensitizer (RS) were applied prior to radiation therapy to increase the therapeutic efficacy. This is due to some cancer cells were resistance toward radiation by producing large amount of antioxidant enzyme to scavenges the free radicals. The amount of RS added prior to irradiation played an important role to increase the efficacy of treatment but peroxide may cause unnecessary stress to the cancer cells before the treatment of irradiation. In this paper, different amount of RS were tested to evaluate the optimum amount of RS to avoid over-stress to the cancer cells while showing radiosensitizing effect by comparing to sample without RS. RS with different concentration started from 5% to 50% are added to hepatocellular carcinoma (HepG2) cancer cell line prior to 2Gy of fractionated dose. Cell viability was evaluated by 3-(4,5-dimethylthiazol-2-yl)-2,5-diphenyltetrazolium bromide (MTT) assay, 24 hours after irradiation. In this study it is observed that the concentration of RS range between 5-20% did not cause reduction on the viability percentage of the studied HepG2 cells whereas 25-50% caused significant reduction on cell viability. The radiosensitizing effect of RS at 20% concentration exhibits 18.68% more cell death compared to treatment with radiation alone. It is therefore suggested that 20% is the optimum amount of RS which able to enhance the radiosensitizing ability without causing toxicity to the cell, thus induced more cancer cell death during radiotherapy.</w:t>
      </w:r>
    </w:p>
    <w:p w:rsidR="00CC2A5E" w:rsidRPr="00CC2A5E" w:rsidRDefault="00CC2A5E" w:rsidP="00CC2A5E">
      <w:pPr>
        <w:spacing w:after="0" w:line="240" w:lineRule="auto"/>
        <w:jc w:val="both"/>
        <w:rPr>
          <w:rFonts w:ascii="Times New Roman" w:hAnsi="Times New Roman"/>
          <w:b/>
          <w:bCs/>
          <w:sz w:val="20"/>
          <w:szCs w:val="20"/>
          <w:lang w:eastAsia="en-GB"/>
        </w:rPr>
      </w:pPr>
    </w:p>
    <w:p w:rsidR="00CC2A5E" w:rsidRPr="00CC2A5E" w:rsidRDefault="00CC2A5E" w:rsidP="00CC2A5E">
      <w:pPr>
        <w:spacing w:after="0" w:line="240" w:lineRule="auto"/>
        <w:jc w:val="both"/>
        <w:rPr>
          <w:rFonts w:ascii="Times New Roman" w:hAnsi="Times New Roman"/>
          <w:color w:val="000000"/>
          <w:sz w:val="20"/>
          <w:szCs w:val="20"/>
          <w:shd w:val="clear" w:color="auto" w:fill="FFFFFF"/>
        </w:rPr>
      </w:pPr>
      <w:r w:rsidRPr="00CC2A5E">
        <w:rPr>
          <w:rFonts w:ascii="Times New Roman" w:hAnsi="Times New Roman"/>
          <w:b/>
          <w:bCs/>
          <w:sz w:val="20"/>
          <w:szCs w:val="20"/>
          <w:lang w:eastAsia="en-GB"/>
        </w:rPr>
        <w:t>Keywords</w:t>
      </w:r>
      <w:r w:rsidRPr="00CC2A5E">
        <w:rPr>
          <w:rFonts w:ascii="Times New Roman" w:hAnsi="Times New Roman"/>
          <w:sz w:val="20"/>
          <w:szCs w:val="20"/>
          <w:lang w:eastAsia="en-GB"/>
        </w:rPr>
        <w:t>: Radiosensitizer, hyaluronan, radiotherapy, HepG2, MTT assay</w:t>
      </w:r>
    </w:p>
    <w:p w:rsidR="00CC2A5E" w:rsidRPr="00CC2A5E" w:rsidRDefault="00CC2A5E" w:rsidP="00CC2A5E">
      <w:pPr>
        <w:spacing w:after="0" w:line="240" w:lineRule="auto"/>
        <w:jc w:val="center"/>
        <w:rPr>
          <w:rFonts w:ascii="Times New Roman" w:hAnsi="Times New Roman"/>
          <w:noProof/>
          <w:sz w:val="20"/>
          <w:szCs w:val="20"/>
          <w:lang w:bidi="ar-SA"/>
        </w:rPr>
      </w:pPr>
    </w:p>
    <w:p w:rsidR="00CC2A5E" w:rsidRPr="00CC2A5E" w:rsidRDefault="00CC2A5E" w:rsidP="00CC2A5E">
      <w:pPr>
        <w:spacing w:after="0" w:line="240" w:lineRule="auto"/>
        <w:jc w:val="center"/>
        <w:rPr>
          <w:rFonts w:ascii="Times New Roman" w:hAnsi="Times New Roman"/>
          <w:b/>
          <w:noProof/>
          <w:sz w:val="20"/>
          <w:szCs w:val="20"/>
          <w:lang w:bidi="ar-SA"/>
        </w:rPr>
      </w:pPr>
      <w:r w:rsidRPr="00CC2A5E">
        <w:rPr>
          <w:rFonts w:ascii="Times New Roman" w:hAnsi="Times New Roman"/>
          <w:b/>
          <w:noProof/>
          <w:sz w:val="20"/>
          <w:szCs w:val="20"/>
          <w:lang w:bidi="ar-SA"/>
        </w:rPr>
        <w:t>Abstrak</w:t>
      </w:r>
    </w:p>
    <w:p w:rsidR="00CC2A5E" w:rsidRPr="00CC2A5E" w:rsidRDefault="00CC2A5E" w:rsidP="00CC2A5E">
      <w:pPr>
        <w:spacing w:after="0" w:line="240" w:lineRule="auto"/>
        <w:jc w:val="both"/>
        <w:rPr>
          <w:rFonts w:ascii="Times New Roman" w:hAnsi="Times New Roman"/>
          <w:color w:val="000000"/>
          <w:sz w:val="20"/>
          <w:szCs w:val="20"/>
        </w:rPr>
      </w:pPr>
      <w:r w:rsidRPr="00CC2A5E">
        <w:rPr>
          <w:rFonts w:ascii="Times New Roman" w:hAnsi="Times New Roman"/>
          <w:color w:val="000000"/>
          <w:sz w:val="20"/>
          <w:szCs w:val="20"/>
        </w:rPr>
        <w:t xml:space="preserve">Pemeka Sinaran (RS) diaplikasi sebelum terapi sinaran untuk meningkatkan keberkesanan rawatan kanser melalui kaedah sinaran. Pemeka sinaran digunakan kerana sebahagian sel kanser bersifat rintang terhadap sinaran yang disebabkan penghasilan enzim antioksida yang banyak lalu menghalang radikal bebas mendekati sel kanser. Penambahan jumlah RS sebelum penyinaran memainkan peranan penting untuk meningkatkan keberkesanan rawatan radioterapi tetapi peroksida boleh membawa tekanan yang keterlaluan ke atas sel  sebelum rawatan penyinaran. Dalam kajian ini, pelbagai kepekatan RS telah digunakan untuk menentukan kuantiti optimum bagi mengelakkan kesan keterlaluan RS ke atas sel kanser. Kepekatan RS dalam julat 5% hingga 50% disasarkan ke atas sel kanser HepG2 sebelum dos sebanyak 2Gy diberikan. Kemandirian sel diuji 24 jam selepas penyinaran dengan </w:t>
      </w:r>
      <w:r w:rsidRPr="00CC2A5E">
        <w:rPr>
          <w:rFonts w:ascii="Times New Roman" w:hAnsi="Times New Roman"/>
          <w:i/>
          <w:color w:val="000000"/>
          <w:sz w:val="20"/>
          <w:szCs w:val="20"/>
        </w:rPr>
        <w:t>3-(4,5-dimethylthiazol-2-yl)-2,5-diphenyltetrazolium bromide</w:t>
      </w:r>
      <w:r w:rsidRPr="00CC2A5E">
        <w:rPr>
          <w:rFonts w:ascii="Times New Roman" w:hAnsi="Times New Roman"/>
          <w:color w:val="000000"/>
          <w:sz w:val="20"/>
          <w:szCs w:val="20"/>
        </w:rPr>
        <w:t xml:space="preserve"> asai MTT. Kajian ini mendapati bahawa kuantiti RS dari 5% ke 20% tanpa disinar menunjukkan tiada pengurangan dari segi peratusan kemandirian sel HepG2 manakala RS 25-50% menunjukkan pengurangan peratusan kemandirian sel HepG2 yang ketara. Kesan kepekaan </w:t>
      </w:r>
      <w:r w:rsidRPr="00CC2A5E">
        <w:rPr>
          <w:rFonts w:ascii="Times New Roman" w:hAnsi="Times New Roman"/>
          <w:color w:val="000000"/>
          <w:sz w:val="20"/>
          <w:szCs w:val="20"/>
        </w:rPr>
        <w:lastRenderedPageBreak/>
        <w:t>RS pada 20% berupaya mengaruh 18.68% lebih kematian sel berbanding dengan rawatan sinaran tanpa RS. Kesimpulannya, kuantiti RS pada 20% adalah optimum dalam meningkatkan kesan kepekaan sinaran tanpa ketoksikan ke atas sel dan mengaruh lebih banyak kematian sel kanser ketika radioterapi dijalankan.</w:t>
      </w:r>
    </w:p>
    <w:p w:rsidR="00CC2A5E" w:rsidRPr="00CC2A5E" w:rsidRDefault="00CC2A5E" w:rsidP="00CC2A5E">
      <w:pPr>
        <w:spacing w:after="0" w:line="240" w:lineRule="auto"/>
        <w:jc w:val="both"/>
        <w:rPr>
          <w:rFonts w:ascii="Times New Roman" w:hAnsi="Times New Roman"/>
          <w:sz w:val="20"/>
          <w:szCs w:val="20"/>
          <w:lang w:eastAsia="en-GB"/>
        </w:rPr>
      </w:pPr>
    </w:p>
    <w:p w:rsidR="00F12553" w:rsidRDefault="00CC2A5E" w:rsidP="00CC2A5E">
      <w:pPr>
        <w:spacing w:after="0" w:line="240" w:lineRule="auto"/>
        <w:jc w:val="both"/>
        <w:rPr>
          <w:rFonts w:ascii="Times New Roman" w:hAnsi="Times New Roman"/>
          <w:sz w:val="20"/>
          <w:szCs w:val="20"/>
          <w:lang w:eastAsia="en-GB"/>
        </w:rPr>
      </w:pPr>
      <w:r w:rsidRPr="00CC2A5E">
        <w:rPr>
          <w:rFonts w:ascii="Times New Roman" w:hAnsi="Times New Roman"/>
          <w:b/>
          <w:bCs/>
          <w:sz w:val="20"/>
          <w:szCs w:val="20"/>
          <w:lang w:eastAsia="en-GB"/>
        </w:rPr>
        <w:t>Kata kunci</w:t>
      </w:r>
      <w:r w:rsidRPr="00CC2A5E">
        <w:rPr>
          <w:rFonts w:ascii="Times New Roman" w:hAnsi="Times New Roman"/>
          <w:sz w:val="20"/>
          <w:szCs w:val="20"/>
          <w:lang w:eastAsia="en-GB"/>
        </w:rPr>
        <w:t>: Pemeka sinaran, hyaluronan, radioterapi, HepG2, asai MTT</w:t>
      </w:r>
    </w:p>
    <w:p w:rsidR="00CC2A5E" w:rsidRDefault="00CC2A5E" w:rsidP="00CC2A5E">
      <w:pPr>
        <w:spacing w:after="0" w:line="240" w:lineRule="auto"/>
        <w:jc w:val="both"/>
        <w:rPr>
          <w:rFonts w:ascii="Times New Roman" w:hAnsi="Times New Roman"/>
          <w:sz w:val="20"/>
          <w:szCs w:val="20"/>
          <w:lang w:eastAsia="en-GB"/>
        </w:rPr>
      </w:pPr>
    </w:p>
    <w:p w:rsidR="00CC2A5E" w:rsidRPr="00802DCC" w:rsidRDefault="00CC2A5E" w:rsidP="00CC2A5E">
      <w:pPr>
        <w:spacing w:after="0" w:line="240" w:lineRule="auto"/>
        <w:jc w:val="center"/>
        <w:rPr>
          <w:rFonts w:ascii="Times New Roman" w:hAnsi="Times New Roman"/>
          <w:b/>
          <w:noProof/>
          <w:sz w:val="18"/>
          <w:szCs w:val="18"/>
          <w:lang w:bidi="ar-SA"/>
        </w:rPr>
      </w:pPr>
      <w:r w:rsidRPr="00802DCC">
        <w:rPr>
          <w:rFonts w:ascii="Times New Roman" w:hAnsi="Times New Roman"/>
          <w:b/>
          <w:noProof/>
          <w:sz w:val="20"/>
          <w:szCs w:val="20"/>
          <w:lang w:bidi="ar-SA"/>
        </w:rPr>
        <w:t>References</w:t>
      </w:r>
    </w:p>
    <w:p w:rsidR="00CC2A5E" w:rsidRPr="00D22B16" w:rsidRDefault="00CC2A5E" w:rsidP="00CC2A5E">
      <w:pPr>
        <w:pStyle w:val="ListParagraph"/>
        <w:numPr>
          <w:ilvl w:val="0"/>
          <w:numId w:val="1"/>
        </w:numPr>
        <w:suppressAutoHyphens/>
        <w:spacing w:after="0" w:line="240" w:lineRule="auto"/>
        <w:jc w:val="both"/>
        <w:rPr>
          <w:rFonts w:ascii="Times New Roman" w:hAnsi="Times New Roman"/>
          <w:sz w:val="20"/>
          <w:szCs w:val="20"/>
        </w:rPr>
      </w:pPr>
      <w:r w:rsidRPr="00D22B16">
        <w:rPr>
          <w:rFonts w:ascii="Times New Roman" w:hAnsi="Times New Roman"/>
          <w:sz w:val="20"/>
          <w:szCs w:val="20"/>
          <w:shd w:val="clear" w:color="auto" w:fill="FFFFFF"/>
        </w:rPr>
        <w:t>Hirst, D. G. (2007). The Importance of Radiobiology to Cancer Therapy: Current Practice and Future Perspectives.</w:t>
      </w:r>
      <w:r w:rsidRPr="00D22B16">
        <w:rPr>
          <w:rStyle w:val="apple-converted-space"/>
          <w:rFonts w:ascii="Times New Roman" w:hAnsi="Times New Roman"/>
          <w:sz w:val="20"/>
          <w:szCs w:val="20"/>
          <w:shd w:val="clear" w:color="auto" w:fill="FFFFFF"/>
        </w:rPr>
        <w:t> </w:t>
      </w:r>
      <w:r w:rsidRPr="00D22B16">
        <w:rPr>
          <w:rFonts w:ascii="Times New Roman" w:hAnsi="Times New Roman"/>
          <w:i/>
          <w:iCs/>
          <w:sz w:val="20"/>
          <w:szCs w:val="20"/>
          <w:shd w:val="clear" w:color="auto" w:fill="FFFFFF"/>
        </w:rPr>
        <w:t>Clinical Oncology</w:t>
      </w:r>
      <w:r w:rsidRPr="00D22B16">
        <w:rPr>
          <w:rFonts w:ascii="Times New Roman" w:hAnsi="Times New Roman"/>
          <w:sz w:val="20"/>
          <w:szCs w:val="20"/>
          <w:shd w:val="clear" w:color="auto" w:fill="FFFFFF"/>
        </w:rPr>
        <w:t>,</w:t>
      </w:r>
      <w:r w:rsidRPr="00D22B16">
        <w:rPr>
          <w:rStyle w:val="apple-converted-space"/>
          <w:rFonts w:ascii="Times New Roman" w:hAnsi="Times New Roman"/>
          <w:sz w:val="20"/>
          <w:szCs w:val="20"/>
          <w:shd w:val="clear" w:color="auto" w:fill="FFFFFF"/>
        </w:rPr>
        <w:t> </w:t>
      </w:r>
      <w:r w:rsidRPr="00D22B16">
        <w:rPr>
          <w:rFonts w:ascii="Times New Roman" w:hAnsi="Times New Roman"/>
          <w:i/>
          <w:iCs/>
          <w:sz w:val="20"/>
          <w:szCs w:val="20"/>
          <w:shd w:val="clear" w:color="auto" w:fill="FFFFFF"/>
        </w:rPr>
        <w:t>19</w:t>
      </w:r>
      <w:r>
        <w:rPr>
          <w:rFonts w:ascii="Times New Roman" w:hAnsi="Times New Roman"/>
          <w:sz w:val="20"/>
          <w:szCs w:val="20"/>
          <w:shd w:val="clear" w:color="auto" w:fill="FFFFFF"/>
        </w:rPr>
        <w:t>(6):</w:t>
      </w:r>
      <w:r w:rsidRPr="00D22B16">
        <w:rPr>
          <w:rFonts w:ascii="Times New Roman" w:hAnsi="Times New Roman"/>
          <w:sz w:val="20"/>
          <w:szCs w:val="20"/>
          <w:shd w:val="clear" w:color="auto" w:fill="FFFFFF"/>
        </w:rPr>
        <w:t xml:space="preserve"> 367-369.</w:t>
      </w:r>
    </w:p>
    <w:p w:rsidR="00CC2A5E" w:rsidRPr="00D22B16" w:rsidRDefault="00CC2A5E" w:rsidP="00CC2A5E">
      <w:pPr>
        <w:pStyle w:val="ListParagraph"/>
        <w:numPr>
          <w:ilvl w:val="0"/>
          <w:numId w:val="1"/>
        </w:numPr>
        <w:suppressAutoHyphens/>
        <w:spacing w:after="0" w:line="240" w:lineRule="auto"/>
        <w:jc w:val="both"/>
        <w:rPr>
          <w:rFonts w:ascii="Times New Roman" w:hAnsi="Times New Roman"/>
          <w:sz w:val="20"/>
          <w:szCs w:val="20"/>
        </w:rPr>
      </w:pPr>
      <w:r w:rsidRPr="00D22B16">
        <w:rPr>
          <w:rFonts w:ascii="Times New Roman" w:hAnsi="Times New Roman"/>
          <w:sz w:val="20"/>
          <w:szCs w:val="20"/>
          <w:shd w:val="clear" w:color="auto" w:fill="FFFFFF"/>
        </w:rPr>
        <w:t>Machlin, L. J., &amp; Bendich, A. (1987). Free radical tissue damage: protective role of antioxidant nutrients.</w:t>
      </w:r>
      <w:r w:rsidRPr="00D22B16">
        <w:rPr>
          <w:rStyle w:val="apple-converted-space"/>
          <w:rFonts w:ascii="Times New Roman" w:hAnsi="Times New Roman"/>
          <w:sz w:val="20"/>
          <w:szCs w:val="20"/>
          <w:shd w:val="clear" w:color="auto" w:fill="FFFFFF"/>
        </w:rPr>
        <w:t> </w:t>
      </w:r>
      <w:r w:rsidRPr="00D22B16">
        <w:rPr>
          <w:rFonts w:ascii="Times New Roman" w:hAnsi="Times New Roman"/>
          <w:i/>
          <w:iCs/>
          <w:sz w:val="20"/>
          <w:szCs w:val="20"/>
          <w:shd w:val="clear" w:color="auto" w:fill="FFFFFF"/>
        </w:rPr>
        <w:t>The FASEB Journal</w:t>
      </w:r>
      <w:r w:rsidRPr="00D22B16">
        <w:rPr>
          <w:rFonts w:ascii="Times New Roman" w:hAnsi="Times New Roman"/>
          <w:sz w:val="20"/>
          <w:szCs w:val="20"/>
          <w:shd w:val="clear" w:color="auto" w:fill="FFFFFF"/>
        </w:rPr>
        <w:t>,</w:t>
      </w:r>
      <w:r w:rsidRPr="00D22B16">
        <w:rPr>
          <w:rStyle w:val="apple-converted-space"/>
          <w:rFonts w:ascii="Times New Roman" w:hAnsi="Times New Roman"/>
          <w:sz w:val="20"/>
          <w:szCs w:val="20"/>
          <w:shd w:val="clear" w:color="auto" w:fill="FFFFFF"/>
        </w:rPr>
        <w:t> </w:t>
      </w:r>
      <w:r w:rsidRPr="00D22B16">
        <w:rPr>
          <w:rFonts w:ascii="Times New Roman" w:hAnsi="Times New Roman"/>
          <w:iCs/>
          <w:sz w:val="20"/>
          <w:szCs w:val="20"/>
          <w:shd w:val="clear" w:color="auto" w:fill="FFFFFF"/>
        </w:rPr>
        <w:t>1</w:t>
      </w:r>
      <w:r w:rsidRPr="00D22B16">
        <w:rPr>
          <w:rFonts w:ascii="Times New Roman" w:hAnsi="Times New Roman"/>
          <w:sz w:val="20"/>
          <w:szCs w:val="20"/>
          <w:shd w:val="clear" w:color="auto" w:fill="FFFFFF"/>
        </w:rPr>
        <w:t>(6):441-445.</w:t>
      </w:r>
    </w:p>
    <w:p w:rsidR="00CC2A5E" w:rsidRPr="00D22B16" w:rsidRDefault="00CC2A5E" w:rsidP="00CC2A5E">
      <w:pPr>
        <w:pStyle w:val="ListParagraph"/>
        <w:numPr>
          <w:ilvl w:val="0"/>
          <w:numId w:val="1"/>
        </w:numPr>
        <w:suppressAutoHyphens/>
        <w:spacing w:after="0" w:line="240" w:lineRule="auto"/>
        <w:jc w:val="both"/>
        <w:rPr>
          <w:rFonts w:ascii="Times New Roman" w:hAnsi="Times New Roman"/>
          <w:sz w:val="20"/>
          <w:szCs w:val="20"/>
        </w:rPr>
      </w:pPr>
      <w:r w:rsidRPr="00D22B16">
        <w:rPr>
          <w:rFonts w:ascii="Times New Roman" w:hAnsi="Times New Roman"/>
          <w:sz w:val="20"/>
          <w:szCs w:val="20"/>
        </w:rPr>
        <w:t xml:space="preserve">Ogawa, Y., Ue, H., Tsuzuki, K., Tadokoro, M., Miyatake, K., Sasaki, T., Yokota, N., Hamada, N., Kariya, S., Hitomi, J., Nishioka, A., Nakajima, K., Ikeda, M., Sano, S. &amp; Inomata, T. (2008). New radiosensitization treatment (KORTUC I) using hydrogen peroxide solution-soaked gauze bolus for unresectable and superficially exposed neoplasms. </w:t>
      </w:r>
      <w:r w:rsidRPr="00D22B16">
        <w:rPr>
          <w:rFonts w:ascii="Times New Roman" w:hAnsi="Times New Roman"/>
          <w:i/>
          <w:iCs/>
          <w:sz w:val="20"/>
          <w:szCs w:val="20"/>
        </w:rPr>
        <w:t xml:space="preserve">Oncology Reports, </w:t>
      </w:r>
      <w:r w:rsidRPr="00D22B16">
        <w:rPr>
          <w:rFonts w:ascii="Times New Roman" w:hAnsi="Times New Roman"/>
          <w:sz w:val="20"/>
          <w:szCs w:val="20"/>
        </w:rPr>
        <w:t>19:1389-1394.</w:t>
      </w:r>
    </w:p>
    <w:p w:rsidR="00CC2A5E" w:rsidRPr="00D22B16" w:rsidRDefault="00CC2A5E" w:rsidP="00CC2A5E">
      <w:pPr>
        <w:pStyle w:val="ListParagraph"/>
        <w:numPr>
          <w:ilvl w:val="0"/>
          <w:numId w:val="1"/>
        </w:numPr>
        <w:suppressAutoHyphens/>
        <w:spacing w:after="0" w:line="240" w:lineRule="auto"/>
        <w:jc w:val="both"/>
        <w:rPr>
          <w:rFonts w:ascii="Times New Roman" w:hAnsi="Times New Roman"/>
          <w:sz w:val="20"/>
          <w:szCs w:val="20"/>
        </w:rPr>
      </w:pPr>
      <w:r w:rsidRPr="00D22B16">
        <w:rPr>
          <w:rFonts w:ascii="Times New Roman" w:hAnsi="Times New Roman"/>
          <w:sz w:val="20"/>
          <w:szCs w:val="20"/>
          <w:shd w:val="clear" w:color="auto" w:fill="FFFFFF"/>
        </w:rPr>
        <w:t xml:space="preserve">Dunne-Daly, C. F. (1999). Principles of radiotherapy and radiobiology. </w:t>
      </w:r>
      <w:r w:rsidRPr="00D22B16">
        <w:rPr>
          <w:rFonts w:ascii="Times New Roman" w:hAnsi="Times New Roman"/>
          <w:i/>
          <w:iCs/>
          <w:sz w:val="20"/>
          <w:szCs w:val="20"/>
          <w:shd w:val="clear" w:color="auto" w:fill="FFFFFF"/>
        </w:rPr>
        <w:t>Seminars in Oncology Nursing</w:t>
      </w:r>
      <w:r w:rsidRPr="00D22B16">
        <w:rPr>
          <w:rStyle w:val="apple-converted-space"/>
          <w:rFonts w:ascii="Times New Roman" w:hAnsi="Times New Roman"/>
          <w:sz w:val="20"/>
          <w:szCs w:val="20"/>
          <w:shd w:val="clear" w:color="auto" w:fill="FFFFFF"/>
        </w:rPr>
        <w:t> </w:t>
      </w:r>
      <w:r w:rsidRPr="00D22B16">
        <w:rPr>
          <w:rFonts w:ascii="Times New Roman" w:hAnsi="Times New Roman"/>
          <w:sz w:val="20"/>
          <w:szCs w:val="20"/>
          <w:shd w:val="clear" w:color="auto" w:fill="FFFFFF"/>
        </w:rPr>
        <w:t>Vol. 15, No. 4, pp. 250-259.</w:t>
      </w:r>
    </w:p>
    <w:p w:rsidR="00CC2A5E" w:rsidRPr="00D22B16" w:rsidRDefault="00CC2A5E" w:rsidP="00CC2A5E">
      <w:pPr>
        <w:pStyle w:val="ListParagraph"/>
        <w:numPr>
          <w:ilvl w:val="0"/>
          <w:numId w:val="1"/>
        </w:numPr>
        <w:suppressAutoHyphens/>
        <w:spacing w:after="0" w:line="240" w:lineRule="auto"/>
        <w:jc w:val="both"/>
        <w:rPr>
          <w:rFonts w:ascii="Times New Roman" w:hAnsi="Times New Roman"/>
          <w:sz w:val="20"/>
          <w:szCs w:val="20"/>
        </w:rPr>
      </w:pPr>
      <w:r w:rsidRPr="00D22B16">
        <w:rPr>
          <w:rFonts w:ascii="Times New Roman" w:hAnsi="Times New Roman"/>
          <w:sz w:val="20"/>
          <w:szCs w:val="20"/>
        </w:rPr>
        <w:t xml:space="preserve">Ogawa, Y., Kubota, K., Ue, H., Kataoka, Y., Tadokoro, M., Miyatake, K., Tsuzuki, K., Yamanishi, T., Itoh, S., Hitomi, J., Hamada, N., Kariya, S., Fukumoto, M., Nishioka, A. &amp; Inomata. T. (2008). Phase I study of a new radiosensitizer containing hydrogen peroxide and sodium hyaluronate for topical tumor injection: A new enzyme-targeting radiosensitization treatment, Kochi Oxydol-Radiation Therapy for Unresectable Carcinomas, Type II (KORTUC II). </w:t>
      </w:r>
      <w:r w:rsidRPr="00D22B16">
        <w:rPr>
          <w:rFonts w:ascii="Times New Roman" w:hAnsi="Times New Roman"/>
          <w:i/>
          <w:iCs/>
          <w:sz w:val="20"/>
          <w:szCs w:val="20"/>
        </w:rPr>
        <w:t xml:space="preserve">International Journal of Oncology, </w:t>
      </w:r>
      <w:r w:rsidRPr="00D22B16">
        <w:rPr>
          <w:rFonts w:ascii="Times New Roman" w:hAnsi="Times New Roman"/>
          <w:sz w:val="20"/>
          <w:szCs w:val="20"/>
        </w:rPr>
        <w:t>34:</w:t>
      </w:r>
      <w:r>
        <w:rPr>
          <w:rFonts w:ascii="Times New Roman" w:hAnsi="Times New Roman"/>
          <w:sz w:val="20"/>
          <w:szCs w:val="20"/>
        </w:rPr>
        <w:t xml:space="preserve"> </w:t>
      </w:r>
      <w:r w:rsidRPr="00D22B16">
        <w:rPr>
          <w:rFonts w:ascii="Times New Roman" w:hAnsi="Times New Roman"/>
          <w:sz w:val="20"/>
          <w:szCs w:val="20"/>
        </w:rPr>
        <w:t>609-618.</w:t>
      </w:r>
    </w:p>
    <w:p w:rsidR="00CC2A5E" w:rsidRPr="00D22B16" w:rsidRDefault="00CC2A5E" w:rsidP="00CC2A5E">
      <w:pPr>
        <w:pStyle w:val="ListParagraph"/>
        <w:numPr>
          <w:ilvl w:val="0"/>
          <w:numId w:val="1"/>
        </w:numPr>
        <w:suppressAutoHyphens/>
        <w:spacing w:after="0" w:line="240" w:lineRule="auto"/>
        <w:jc w:val="both"/>
        <w:rPr>
          <w:rFonts w:ascii="Times New Roman" w:hAnsi="Times New Roman"/>
          <w:sz w:val="20"/>
          <w:szCs w:val="20"/>
        </w:rPr>
      </w:pPr>
      <w:r w:rsidRPr="00D22B16">
        <w:rPr>
          <w:rFonts w:ascii="Times New Roman" w:hAnsi="Times New Roman"/>
          <w:sz w:val="20"/>
          <w:szCs w:val="20"/>
        </w:rPr>
        <w:t xml:space="preserve">Mosmann T. (1983). Rapid colorimetric assay for cellular growth and survival: Application to proliferation and cytotoxicity assays. </w:t>
      </w:r>
      <w:r w:rsidRPr="00D22B16">
        <w:rPr>
          <w:rFonts w:ascii="Times New Roman" w:hAnsi="Times New Roman"/>
          <w:i/>
          <w:sz w:val="20"/>
          <w:szCs w:val="20"/>
        </w:rPr>
        <w:t>J. Immunol. Meth</w:t>
      </w:r>
      <w:r w:rsidRPr="00D22B16">
        <w:rPr>
          <w:rFonts w:ascii="Times New Roman" w:hAnsi="Times New Roman"/>
          <w:sz w:val="20"/>
          <w:szCs w:val="20"/>
        </w:rPr>
        <w:t>, 65:</w:t>
      </w:r>
      <w:r>
        <w:rPr>
          <w:rFonts w:ascii="Times New Roman" w:hAnsi="Times New Roman"/>
          <w:sz w:val="20"/>
          <w:szCs w:val="20"/>
        </w:rPr>
        <w:t xml:space="preserve"> </w:t>
      </w:r>
      <w:r w:rsidRPr="00D22B16">
        <w:rPr>
          <w:rFonts w:ascii="Times New Roman" w:hAnsi="Times New Roman"/>
          <w:sz w:val="20"/>
          <w:szCs w:val="20"/>
        </w:rPr>
        <w:t>55–63.</w:t>
      </w:r>
    </w:p>
    <w:p w:rsidR="00CC2A5E" w:rsidRPr="00CC2A5E" w:rsidRDefault="00CC2A5E" w:rsidP="00CC2A5E">
      <w:pPr>
        <w:pStyle w:val="ListParagraph"/>
        <w:numPr>
          <w:ilvl w:val="0"/>
          <w:numId w:val="1"/>
        </w:numPr>
        <w:suppressAutoHyphens/>
        <w:spacing w:after="0" w:line="240" w:lineRule="auto"/>
        <w:jc w:val="both"/>
        <w:rPr>
          <w:rFonts w:ascii="Times New Roman" w:hAnsi="Times New Roman"/>
          <w:sz w:val="20"/>
          <w:szCs w:val="20"/>
        </w:rPr>
      </w:pPr>
      <w:r w:rsidRPr="00D22B16">
        <w:rPr>
          <w:rFonts w:ascii="Times New Roman" w:hAnsi="Times New Roman"/>
          <w:sz w:val="20"/>
          <w:szCs w:val="20"/>
          <w:shd w:val="clear" w:color="auto" w:fill="FFFFFF"/>
        </w:rPr>
        <w:t>Riss, T. L., Moravec, R. A., Niles, A. L., Benink, H. A., Worzella, T. J., &amp; Minor, L. (2013). Cell viability assays. In: Sittampalam GS, Coussens NP, Nelson H, et al., editors. Assay Guidance Manual [Internet]. Bethesda (MD): Eli Lilly &amp; Company and the National Center for Advanci</w:t>
      </w:r>
      <w:r>
        <w:rPr>
          <w:rFonts w:ascii="Times New Roman" w:hAnsi="Times New Roman"/>
          <w:sz w:val="20"/>
          <w:szCs w:val="20"/>
          <w:shd w:val="clear" w:color="auto" w:fill="FFFFFF"/>
        </w:rPr>
        <w:t>ng Translational Sciences; 2004</w:t>
      </w:r>
      <w:r w:rsidRPr="00D22B16">
        <w:rPr>
          <w:rFonts w:ascii="Times New Roman" w:hAnsi="Times New Roman"/>
          <w:sz w:val="20"/>
          <w:szCs w:val="20"/>
          <w:shd w:val="clear" w:color="auto" w:fill="FFFFFF"/>
        </w:rPr>
        <w:t>.</w:t>
      </w:r>
      <w:r w:rsidRPr="007C282D">
        <w:rPr>
          <w:rFonts w:ascii="Times New Roman" w:hAnsi="Times New Roman"/>
          <w:noProof/>
          <w:lang w:bidi="ar-SA"/>
        </w:rPr>
        <w:t xml:space="preserve"> </w:t>
      </w:r>
    </w:p>
    <w:sectPr w:rsidR="00CC2A5E" w:rsidRPr="00CC2A5E" w:rsidSect="00CC2A5E">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E63D0A"/>
    <w:multiLevelType w:val="hybridMultilevel"/>
    <w:tmpl w:val="A8729310"/>
    <w:lvl w:ilvl="0" w:tplc="4409000F">
      <w:start w:val="1"/>
      <w:numFmt w:val="decimal"/>
      <w:lvlText w:val="%1."/>
      <w:lvlJc w:val="left"/>
      <w:pPr>
        <w:ind w:left="360" w:hanging="360"/>
      </w:pPr>
    </w:lvl>
    <w:lvl w:ilvl="1" w:tplc="44090019">
      <w:start w:val="1"/>
      <w:numFmt w:val="lowerLetter"/>
      <w:lvlText w:val="%2."/>
      <w:lvlJc w:val="left"/>
      <w:pPr>
        <w:ind w:left="1080" w:hanging="360"/>
      </w:pPr>
    </w:lvl>
    <w:lvl w:ilvl="2" w:tplc="4409001B">
      <w:start w:val="1"/>
      <w:numFmt w:val="lowerRoman"/>
      <w:lvlText w:val="%3."/>
      <w:lvlJc w:val="right"/>
      <w:pPr>
        <w:ind w:left="1800" w:hanging="180"/>
      </w:pPr>
    </w:lvl>
    <w:lvl w:ilvl="3" w:tplc="4409000F">
      <w:start w:val="1"/>
      <w:numFmt w:val="decimal"/>
      <w:lvlText w:val="%4."/>
      <w:lvlJc w:val="left"/>
      <w:pPr>
        <w:ind w:left="2520" w:hanging="360"/>
      </w:pPr>
    </w:lvl>
    <w:lvl w:ilvl="4" w:tplc="44090019">
      <w:start w:val="1"/>
      <w:numFmt w:val="lowerLetter"/>
      <w:lvlText w:val="%5."/>
      <w:lvlJc w:val="left"/>
      <w:pPr>
        <w:ind w:left="3240" w:hanging="360"/>
      </w:pPr>
    </w:lvl>
    <w:lvl w:ilvl="5" w:tplc="4409001B">
      <w:start w:val="1"/>
      <w:numFmt w:val="lowerRoman"/>
      <w:lvlText w:val="%6."/>
      <w:lvlJc w:val="right"/>
      <w:pPr>
        <w:ind w:left="3960" w:hanging="180"/>
      </w:pPr>
    </w:lvl>
    <w:lvl w:ilvl="6" w:tplc="4409000F">
      <w:start w:val="1"/>
      <w:numFmt w:val="decimal"/>
      <w:lvlText w:val="%7."/>
      <w:lvlJc w:val="left"/>
      <w:pPr>
        <w:ind w:left="4680" w:hanging="360"/>
      </w:pPr>
    </w:lvl>
    <w:lvl w:ilvl="7" w:tplc="44090019">
      <w:start w:val="1"/>
      <w:numFmt w:val="lowerLetter"/>
      <w:lvlText w:val="%8."/>
      <w:lvlJc w:val="left"/>
      <w:pPr>
        <w:ind w:left="5400" w:hanging="360"/>
      </w:pPr>
    </w:lvl>
    <w:lvl w:ilvl="8" w:tplc="4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A5E"/>
    <w:rsid w:val="001C3E4F"/>
    <w:rsid w:val="0074262F"/>
    <w:rsid w:val="00CC2A5E"/>
    <w:rsid w:val="00D0718B"/>
    <w:rsid w:val="00D40B1F"/>
    <w:rsid w:val="00F12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A5E"/>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A5E"/>
    <w:pPr>
      <w:ind w:left="720"/>
      <w:contextualSpacing/>
    </w:pPr>
  </w:style>
  <w:style w:type="character" w:customStyle="1" w:styleId="apple-converted-space">
    <w:name w:val="apple-converted-space"/>
    <w:basedOn w:val="DefaultParagraphFont"/>
    <w:rsid w:val="00CC2A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A5E"/>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A5E"/>
    <w:pPr>
      <w:ind w:left="720"/>
      <w:contextualSpacing/>
    </w:pPr>
  </w:style>
  <w:style w:type="character" w:customStyle="1" w:styleId="apple-converted-space">
    <w:name w:val="apple-converted-space"/>
    <w:basedOn w:val="DefaultParagraphFont"/>
    <w:rsid w:val="00CC2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ANALIS</dc:creator>
  <cp:lastModifiedBy>ANALIS</cp:lastModifiedBy>
  <cp:revision>3</cp:revision>
  <dcterms:created xsi:type="dcterms:W3CDTF">2015-03-24T10:22:00Z</dcterms:created>
  <dcterms:modified xsi:type="dcterms:W3CDTF">2015-04-01T01:42:00Z</dcterms:modified>
</cp:coreProperties>
</file>