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9DE" w:rsidRDefault="00E219DE" w:rsidP="00E219DE">
      <w:pPr>
        <w:spacing w:after="0" w:line="240" w:lineRule="auto"/>
        <w:rPr>
          <w:rFonts w:ascii="Times New Roman" w:hAnsi="Times New Roman"/>
          <w:sz w:val="24"/>
          <w:szCs w:val="24"/>
        </w:rPr>
      </w:pPr>
      <w:r>
        <w:rPr>
          <w:rFonts w:ascii="Times New Roman" w:hAnsi="Times New Roman"/>
          <w:sz w:val="24"/>
          <w:szCs w:val="24"/>
        </w:rPr>
        <w:t>Malaysian Journal of Analytical Sciences</w:t>
      </w:r>
      <w:r w:rsidR="004D23A4">
        <w:rPr>
          <w:rFonts w:ascii="Times New Roman" w:hAnsi="Times New Roman"/>
          <w:sz w:val="24"/>
          <w:szCs w:val="24"/>
        </w:rPr>
        <w:t xml:space="preserve"> Vol 20 No 5 (2016): 1225 - 1232</w:t>
      </w:r>
      <w:bookmarkStart w:id="0" w:name="_GoBack"/>
      <w:bookmarkEnd w:id="0"/>
    </w:p>
    <w:p w:rsidR="00E219DE" w:rsidRDefault="00E219DE" w:rsidP="00E219DE">
      <w:pPr>
        <w:spacing w:after="0" w:line="240" w:lineRule="auto"/>
        <w:rPr>
          <w:rFonts w:ascii="Times New Roman" w:hAnsi="Times New Roman"/>
          <w:sz w:val="24"/>
          <w:szCs w:val="24"/>
        </w:rPr>
      </w:pPr>
    </w:p>
    <w:p w:rsidR="00E219DE" w:rsidRDefault="00E219DE" w:rsidP="00E219DE">
      <w:pPr>
        <w:spacing w:after="0" w:line="240" w:lineRule="auto"/>
        <w:rPr>
          <w:rFonts w:ascii="Times New Roman" w:hAnsi="Times New Roman"/>
          <w:sz w:val="24"/>
          <w:szCs w:val="24"/>
        </w:rPr>
      </w:pPr>
    </w:p>
    <w:p w:rsidR="00E219DE" w:rsidRPr="00E219DE" w:rsidRDefault="00E219DE" w:rsidP="00E219DE">
      <w:pPr>
        <w:spacing w:after="0" w:line="240" w:lineRule="auto"/>
        <w:rPr>
          <w:rFonts w:ascii="Times New Roman" w:hAnsi="Times New Roman"/>
          <w:sz w:val="24"/>
          <w:szCs w:val="24"/>
        </w:rPr>
      </w:pPr>
    </w:p>
    <w:p w:rsidR="00E219DE" w:rsidRPr="00EB0648" w:rsidRDefault="00E219DE" w:rsidP="00E219DE">
      <w:pPr>
        <w:spacing w:after="0" w:line="240" w:lineRule="auto"/>
        <w:jc w:val="center"/>
        <w:rPr>
          <w:rFonts w:ascii="Times New Roman" w:hAnsi="Times New Roman"/>
          <w:sz w:val="28"/>
          <w:szCs w:val="28"/>
        </w:rPr>
      </w:pPr>
      <w:r w:rsidRPr="00EB0648">
        <w:rPr>
          <w:rFonts w:ascii="Times New Roman" w:hAnsi="Times New Roman"/>
          <w:sz w:val="28"/>
          <w:szCs w:val="28"/>
        </w:rPr>
        <w:t>SALTWATER INTRUSION ANALYSIS IN EAST COAST OF TERENGGANU USING MULTIVARIATE ANALYSIS</w:t>
      </w:r>
    </w:p>
    <w:p w:rsidR="00E219DE" w:rsidRPr="00F447A7" w:rsidRDefault="00E219DE" w:rsidP="00E219DE">
      <w:pPr>
        <w:spacing w:after="0" w:line="240" w:lineRule="auto"/>
        <w:jc w:val="center"/>
        <w:rPr>
          <w:rFonts w:ascii="Times New Roman" w:hAnsi="Times New Roman"/>
          <w:noProof/>
          <w:sz w:val="24"/>
          <w:szCs w:val="24"/>
          <w:lang w:bidi="ar-SA"/>
        </w:rPr>
      </w:pPr>
    </w:p>
    <w:p w:rsidR="00E219DE" w:rsidRPr="00EB0648" w:rsidRDefault="00E219DE" w:rsidP="00E219DE">
      <w:pPr>
        <w:spacing w:after="0" w:line="240" w:lineRule="auto"/>
        <w:jc w:val="center"/>
        <w:rPr>
          <w:rFonts w:ascii="Times New Roman" w:hAnsi="Times New Roman"/>
          <w:sz w:val="24"/>
          <w:szCs w:val="24"/>
        </w:rPr>
      </w:pPr>
      <w:r w:rsidRPr="00EB0648">
        <w:rPr>
          <w:rFonts w:ascii="Times New Roman" w:hAnsi="Times New Roman"/>
          <w:sz w:val="24"/>
          <w:szCs w:val="24"/>
        </w:rPr>
        <w:t>(Analisis Pencerobohan Air Masin di Kawasan Pantai Timur, Terengganu Menggunakan Analisis Multivariat)</w:t>
      </w:r>
    </w:p>
    <w:p w:rsidR="00E219DE" w:rsidRPr="00F447A7" w:rsidRDefault="00E219DE" w:rsidP="00E219DE">
      <w:pPr>
        <w:spacing w:after="0" w:line="240" w:lineRule="auto"/>
        <w:rPr>
          <w:rFonts w:ascii="Times New Roman" w:hAnsi="Times New Roman"/>
          <w:noProof/>
          <w:sz w:val="20"/>
          <w:szCs w:val="20"/>
          <w:lang w:bidi="ar-SA"/>
        </w:rPr>
      </w:pPr>
    </w:p>
    <w:p w:rsidR="00E219DE" w:rsidRPr="00EB0648" w:rsidRDefault="00E219DE" w:rsidP="00E219DE">
      <w:pPr>
        <w:spacing w:after="0" w:line="240" w:lineRule="auto"/>
        <w:jc w:val="center"/>
        <w:rPr>
          <w:rFonts w:ascii="Times New Roman" w:hAnsi="Times New Roman"/>
          <w:sz w:val="20"/>
          <w:szCs w:val="20"/>
          <w:vertAlign w:val="superscript"/>
        </w:rPr>
      </w:pPr>
      <w:r w:rsidRPr="00EB0648">
        <w:rPr>
          <w:rFonts w:ascii="Times New Roman" w:hAnsi="Times New Roman"/>
          <w:sz w:val="20"/>
          <w:szCs w:val="20"/>
        </w:rPr>
        <w:t>Norsyuhada Hairoma</w:t>
      </w:r>
      <w:r w:rsidRPr="00EB0648">
        <w:rPr>
          <w:rFonts w:ascii="Times New Roman" w:hAnsi="Times New Roman"/>
          <w:sz w:val="20"/>
          <w:szCs w:val="20"/>
          <w:vertAlign w:val="superscript"/>
        </w:rPr>
        <w:t>1</w:t>
      </w:r>
      <w:r w:rsidRPr="00BD2424">
        <w:rPr>
          <w:rFonts w:ascii="Times New Roman" w:hAnsi="Times New Roman"/>
          <w:sz w:val="20"/>
          <w:szCs w:val="20"/>
        </w:rPr>
        <w:t>*</w:t>
      </w:r>
      <w:r w:rsidRPr="00EB0648">
        <w:rPr>
          <w:rFonts w:ascii="Times New Roman" w:hAnsi="Times New Roman"/>
          <w:sz w:val="20"/>
          <w:szCs w:val="20"/>
        </w:rPr>
        <w:t>, Muhd Barzani Gasim</w:t>
      </w:r>
      <w:r w:rsidRPr="00EB0648">
        <w:rPr>
          <w:rFonts w:ascii="Times New Roman" w:hAnsi="Times New Roman"/>
          <w:sz w:val="20"/>
          <w:szCs w:val="20"/>
          <w:vertAlign w:val="superscript"/>
        </w:rPr>
        <w:t>1,2</w:t>
      </w:r>
      <w:r w:rsidRPr="00EB0648">
        <w:rPr>
          <w:rFonts w:ascii="Times New Roman" w:hAnsi="Times New Roman"/>
          <w:sz w:val="20"/>
          <w:szCs w:val="20"/>
        </w:rPr>
        <w:t>, Azman Azid</w:t>
      </w:r>
      <w:r w:rsidRPr="00EB0648">
        <w:rPr>
          <w:rFonts w:ascii="Times New Roman" w:hAnsi="Times New Roman"/>
          <w:sz w:val="20"/>
          <w:szCs w:val="20"/>
          <w:vertAlign w:val="superscript"/>
        </w:rPr>
        <w:t>1,2</w:t>
      </w:r>
      <w:r w:rsidRPr="00EB0648">
        <w:rPr>
          <w:rFonts w:ascii="Times New Roman" w:hAnsi="Times New Roman"/>
          <w:sz w:val="20"/>
          <w:szCs w:val="20"/>
        </w:rPr>
        <w:t>, Haniff Muhamad</w:t>
      </w:r>
      <w:r w:rsidRPr="00EB0648">
        <w:rPr>
          <w:rFonts w:ascii="Times New Roman" w:hAnsi="Times New Roman"/>
          <w:sz w:val="20"/>
          <w:szCs w:val="20"/>
          <w:vertAlign w:val="superscript"/>
        </w:rPr>
        <w:t>1</w:t>
      </w:r>
      <w:r w:rsidRPr="00EB0648">
        <w:rPr>
          <w:rFonts w:ascii="Times New Roman" w:hAnsi="Times New Roman"/>
          <w:sz w:val="20"/>
          <w:szCs w:val="20"/>
        </w:rPr>
        <w:t>, Nur Hishaam Sulaiman</w:t>
      </w:r>
      <w:r w:rsidRPr="00EB0648">
        <w:rPr>
          <w:rFonts w:ascii="Times New Roman" w:hAnsi="Times New Roman"/>
          <w:sz w:val="20"/>
          <w:szCs w:val="20"/>
          <w:vertAlign w:val="superscript"/>
        </w:rPr>
        <w:t>1</w:t>
      </w:r>
      <w:r w:rsidRPr="00EB0648">
        <w:rPr>
          <w:rFonts w:ascii="Times New Roman" w:hAnsi="Times New Roman"/>
          <w:sz w:val="20"/>
          <w:szCs w:val="20"/>
        </w:rPr>
        <w:t>, Zuriati Khairuddin</w:t>
      </w:r>
      <w:r w:rsidRPr="00EB0648">
        <w:rPr>
          <w:rFonts w:ascii="Times New Roman" w:hAnsi="Times New Roman"/>
          <w:sz w:val="20"/>
          <w:szCs w:val="20"/>
          <w:vertAlign w:val="superscript"/>
        </w:rPr>
        <w:t>1</w:t>
      </w:r>
      <w:r w:rsidRPr="00EB0648">
        <w:rPr>
          <w:rFonts w:ascii="Times New Roman" w:hAnsi="Times New Roman"/>
          <w:sz w:val="20"/>
          <w:szCs w:val="20"/>
        </w:rPr>
        <w:t>, Ahmad Dasuki Mustafa</w:t>
      </w:r>
      <w:r w:rsidRPr="00EB0648">
        <w:rPr>
          <w:rFonts w:ascii="Times New Roman" w:hAnsi="Times New Roman"/>
          <w:sz w:val="20"/>
          <w:szCs w:val="20"/>
          <w:vertAlign w:val="superscript"/>
        </w:rPr>
        <w:t>1</w:t>
      </w:r>
      <w:r w:rsidRPr="00EB0648">
        <w:rPr>
          <w:rFonts w:ascii="Times New Roman" w:hAnsi="Times New Roman"/>
          <w:sz w:val="20"/>
          <w:szCs w:val="20"/>
        </w:rPr>
        <w:t>, Fazureen Azaman</w:t>
      </w:r>
      <w:r w:rsidRPr="00EB0648">
        <w:rPr>
          <w:rFonts w:ascii="Times New Roman" w:hAnsi="Times New Roman"/>
          <w:sz w:val="20"/>
          <w:szCs w:val="20"/>
          <w:vertAlign w:val="superscript"/>
        </w:rPr>
        <w:t>1</w:t>
      </w:r>
      <w:r w:rsidRPr="00EB0648">
        <w:rPr>
          <w:rFonts w:ascii="Times New Roman" w:hAnsi="Times New Roman"/>
          <w:sz w:val="20"/>
          <w:szCs w:val="20"/>
        </w:rPr>
        <w:t>, Muhammad Azizi Amran</w:t>
      </w:r>
      <w:r w:rsidRPr="00EB0648">
        <w:rPr>
          <w:rFonts w:ascii="Times New Roman" w:hAnsi="Times New Roman"/>
          <w:sz w:val="20"/>
          <w:szCs w:val="20"/>
          <w:vertAlign w:val="superscript"/>
        </w:rPr>
        <w:t>1</w:t>
      </w:r>
    </w:p>
    <w:p w:rsidR="00E219DE" w:rsidRPr="00E219DE" w:rsidRDefault="00E219DE" w:rsidP="00E219DE">
      <w:pPr>
        <w:spacing w:after="0" w:line="240" w:lineRule="auto"/>
        <w:jc w:val="center"/>
        <w:rPr>
          <w:rFonts w:ascii="Times New Roman" w:hAnsi="Times New Roman"/>
          <w:noProof/>
          <w:sz w:val="20"/>
          <w:szCs w:val="20"/>
          <w:lang w:bidi="ar-SA"/>
        </w:rPr>
      </w:pPr>
    </w:p>
    <w:p w:rsidR="00E219DE" w:rsidRPr="00E219DE" w:rsidRDefault="00E219DE" w:rsidP="00E219DE">
      <w:pPr>
        <w:spacing w:after="0" w:line="240" w:lineRule="auto"/>
        <w:jc w:val="center"/>
        <w:rPr>
          <w:rFonts w:ascii="Times New Roman" w:hAnsi="Times New Roman"/>
          <w:i/>
          <w:sz w:val="20"/>
          <w:szCs w:val="20"/>
        </w:rPr>
      </w:pPr>
      <w:r w:rsidRPr="00E219DE">
        <w:rPr>
          <w:rFonts w:ascii="Times New Roman" w:hAnsi="Times New Roman"/>
          <w:i/>
          <w:sz w:val="20"/>
          <w:szCs w:val="20"/>
          <w:vertAlign w:val="superscript"/>
        </w:rPr>
        <w:t>1</w:t>
      </w:r>
      <w:r w:rsidRPr="00E219DE">
        <w:rPr>
          <w:rFonts w:ascii="Times New Roman" w:hAnsi="Times New Roman"/>
          <w:i/>
          <w:sz w:val="20"/>
          <w:szCs w:val="20"/>
        </w:rPr>
        <w:t>East Coast Environmental Research Institute (ESERI),</w:t>
      </w:r>
    </w:p>
    <w:p w:rsidR="00E219DE" w:rsidRPr="00E219DE" w:rsidRDefault="00E219DE" w:rsidP="00E219DE">
      <w:pPr>
        <w:spacing w:after="0" w:line="240" w:lineRule="auto"/>
        <w:jc w:val="center"/>
        <w:rPr>
          <w:rFonts w:ascii="Times New Roman" w:hAnsi="Times New Roman"/>
          <w:i/>
          <w:sz w:val="20"/>
          <w:szCs w:val="20"/>
        </w:rPr>
      </w:pPr>
      <w:r w:rsidRPr="00E219DE">
        <w:rPr>
          <w:rFonts w:ascii="Times New Roman" w:hAnsi="Times New Roman"/>
          <w:i/>
          <w:sz w:val="20"/>
          <w:szCs w:val="20"/>
        </w:rPr>
        <w:t xml:space="preserve"> Universiti Sultan Zainal Abidin, Gong Badak Campus, 21300 Kuala Terengganu, Terengganu, Malaysia</w:t>
      </w:r>
    </w:p>
    <w:p w:rsidR="00E219DE" w:rsidRPr="00E219DE" w:rsidRDefault="00E219DE" w:rsidP="00E219DE">
      <w:pPr>
        <w:spacing w:after="0" w:line="240" w:lineRule="auto"/>
        <w:jc w:val="center"/>
        <w:rPr>
          <w:rFonts w:ascii="Times New Roman" w:hAnsi="Times New Roman"/>
          <w:i/>
          <w:sz w:val="20"/>
          <w:szCs w:val="20"/>
        </w:rPr>
      </w:pPr>
      <w:r w:rsidRPr="00E219DE">
        <w:rPr>
          <w:rFonts w:ascii="Times New Roman" w:hAnsi="Times New Roman"/>
          <w:i/>
          <w:sz w:val="20"/>
          <w:szCs w:val="20"/>
          <w:vertAlign w:val="superscript"/>
        </w:rPr>
        <w:t>2</w:t>
      </w:r>
      <w:r w:rsidRPr="00E219DE">
        <w:rPr>
          <w:rFonts w:ascii="Times New Roman" w:hAnsi="Times New Roman"/>
          <w:i/>
          <w:sz w:val="20"/>
          <w:szCs w:val="20"/>
        </w:rPr>
        <w:t>Faculty Bioresources and Food Industry,</w:t>
      </w:r>
    </w:p>
    <w:p w:rsidR="00E219DE" w:rsidRPr="00E219DE" w:rsidRDefault="00E219DE" w:rsidP="00E219DE">
      <w:pPr>
        <w:spacing w:after="0" w:line="240" w:lineRule="auto"/>
        <w:jc w:val="center"/>
        <w:rPr>
          <w:rFonts w:ascii="Times New Roman" w:hAnsi="Times New Roman"/>
          <w:i/>
          <w:sz w:val="20"/>
          <w:szCs w:val="20"/>
        </w:rPr>
      </w:pPr>
      <w:r w:rsidRPr="00E219DE">
        <w:rPr>
          <w:rFonts w:ascii="Times New Roman" w:hAnsi="Times New Roman"/>
          <w:i/>
          <w:sz w:val="20"/>
          <w:szCs w:val="20"/>
        </w:rPr>
        <w:t xml:space="preserve"> Universiti Sultan Zainal Abidin, Tembila Campus, 22200 Besut, Terengganu, Malaysia</w:t>
      </w:r>
    </w:p>
    <w:p w:rsidR="00E219DE" w:rsidRPr="00E219DE" w:rsidRDefault="00E219DE" w:rsidP="00E219DE">
      <w:pPr>
        <w:spacing w:after="0" w:line="240" w:lineRule="auto"/>
        <w:jc w:val="center"/>
        <w:rPr>
          <w:rFonts w:ascii="Times New Roman" w:hAnsi="Times New Roman"/>
          <w:noProof/>
          <w:sz w:val="20"/>
          <w:szCs w:val="20"/>
          <w:lang w:bidi="ar-SA"/>
        </w:rPr>
      </w:pPr>
    </w:p>
    <w:p w:rsidR="00E219DE" w:rsidRPr="00E219DE" w:rsidRDefault="00E219DE" w:rsidP="00E219DE">
      <w:pPr>
        <w:spacing w:after="0" w:line="240" w:lineRule="auto"/>
        <w:jc w:val="center"/>
        <w:rPr>
          <w:rFonts w:ascii="Times New Roman" w:hAnsi="Times New Roman"/>
          <w:i/>
          <w:sz w:val="20"/>
          <w:szCs w:val="20"/>
        </w:rPr>
      </w:pPr>
      <w:r w:rsidRPr="00E219DE">
        <w:rPr>
          <w:rFonts w:ascii="Times New Roman" w:hAnsi="Times New Roman"/>
          <w:i/>
          <w:noProof/>
          <w:sz w:val="20"/>
          <w:szCs w:val="20"/>
          <w:lang w:bidi="ar-SA"/>
        </w:rPr>
        <w:t xml:space="preserve">*Corresponding author: </w:t>
      </w:r>
      <w:r w:rsidRPr="00E219DE">
        <w:rPr>
          <w:rFonts w:ascii="Times New Roman" w:hAnsi="Times New Roman"/>
          <w:i/>
          <w:sz w:val="20"/>
          <w:szCs w:val="20"/>
        </w:rPr>
        <w:t>nsyuhadahairoma@gmail.com</w:t>
      </w:r>
    </w:p>
    <w:p w:rsidR="00E219DE" w:rsidRPr="00E219DE" w:rsidRDefault="00E219DE" w:rsidP="00E219DE">
      <w:pPr>
        <w:spacing w:after="0" w:line="240" w:lineRule="auto"/>
        <w:jc w:val="center"/>
        <w:rPr>
          <w:rFonts w:ascii="Times New Roman" w:hAnsi="Times New Roman"/>
          <w:noProof/>
          <w:sz w:val="20"/>
          <w:szCs w:val="20"/>
          <w:lang w:bidi="ar-SA"/>
        </w:rPr>
      </w:pPr>
    </w:p>
    <w:p w:rsidR="00E219DE" w:rsidRPr="00E219DE" w:rsidRDefault="00E219DE" w:rsidP="00E219DE">
      <w:pPr>
        <w:spacing w:after="0" w:line="240" w:lineRule="auto"/>
        <w:jc w:val="center"/>
        <w:rPr>
          <w:rFonts w:ascii="Times New Roman" w:hAnsi="Times New Roman"/>
          <w:noProof/>
          <w:sz w:val="20"/>
          <w:szCs w:val="20"/>
          <w:lang w:bidi="ar-SA"/>
        </w:rPr>
      </w:pPr>
    </w:p>
    <w:p w:rsidR="00E219DE" w:rsidRPr="00E219DE" w:rsidRDefault="00E219DE" w:rsidP="00E219DE">
      <w:pPr>
        <w:spacing w:after="0" w:line="240" w:lineRule="auto"/>
        <w:jc w:val="center"/>
        <w:rPr>
          <w:rFonts w:ascii="Times New Roman" w:hAnsi="Times New Roman"/>
          <w:noProof/>
          <w:sz w:val="20"/>
          <w:szCs w:val="20"/>
          <w:lang w:bidi="ar-SA"/>
        </w:rPr>
      </w:pPr>
      <w:r w:rsidRPr="00E219DE">
        <w:rPr>
          <w:rFonts w:ascii="Times New Roman" w:hAnsi="Times New Roman"/>
          <w:noProof/>
          <w:sz w:val="20"/>
          <w:szCs w:val="20"/>
          <w:lang w:bidi="ar-SA"/>
        </w:rPr>
        <w:t>Received: 14 April 2015; Accepted: 3 August 2016</w:t>
      </w:r>
    </w:p>
    <w:p w:rsidR="00E219DE" w:rsidRPr="00E219DE" w:rsidRDefault="00E219DE" w:rsidP="00E219DE">
      <w:pPr>
        <w:spacing w:after="0" w:line="240" w:lineRule="auto"/>
        <w:jc w:val="center"/>
        <w:rPr>
          <w:rFonts w:ascii="Times New Roman" w:hAnsi="Times New Roman"/>
          <w:noProof/>
          <w:sz w:val="20"/>
          <w:szCs w:val="20"/>
          <w:lang w:bidi="ar-SA"/>
        </w:rPr>
      </w:pPr>
    </w:p>
    <w:p w:rsidR="00E219DE" w:rsidRPr="00E219DE" w:rsidRDefault="00E219DE" w:rsidP="00E219DE">
      <w:pPr>
        <w:spacing w:after="0" w:line="240" w:lineRule="auto"/>
        <w:jc w:val="center"/>
        <w:rPr>
          <w:rFonts w:ascii="Times New Roman" w:hAnsi="Times New Roman"/>
          <w:noProof/>
          <w:sz w:val="20"/>
          <w:szCs w:val="20"/>
          <w:lang w:bidi="ar-SA"/>
        </w:rPr>
      </w:pPr>
    </w:p>
    <w:p w:rsidR="00E219DE" w:rsidRPr="00E219DE" w:rsidRDefault="00E219DE" w:rsidP="00E219DE">
      <w:pPr>
        <w:spacing w:after="0" w:line="240" w:lineRule="auto"/>
        <w:jc w:val="center"/>
        <w:rPr>
          <w:rFonts w:ascii="Times New Roman" w:hAnsi="Times New Roman"/>
          <w:b/>
          <w:noProof/>
          <w:sz w:val="20"/>
          <w:szCs w:val="20"/>
          <w:lang w:bidi="ar-SA"/>
        </w:rPr>
      </w:pPr>
      <w:r w:rsidRPr="00E219DE">
        <w:rPr>
          <w:rFonts w:ascii="Times New Roman" w:hAnsi="Times New Roman"/>
          <w:b/>
          <w:noProof/>
          <w:sz w:val="20"/>
          <w:szCs w:val="20"/>
          <w:lang w:bidi="ar-SA"/>
        </w:rPr>
        <w:t>Abstract</w:t>
      </w:r>
    </w:p>
    <w:p w:rsidR="00E219DE" w:rsidRPr="00E219DE" w:rsidRDefault="00E219DE" w:rsidP="00E219DE">
      <w:pPr>
        <w:spacing w:after="0" w:line="240" w:lineRule="auto"/>
        <w:jc w:val="both"/>
        <w:rPr>
          <w:rFonts w:ascii="Times New Roman" w:hAnsi="Times New Roman"/>
          <w:sz w:val="20"/>
          <w:szCs w:val="20"/>
        </w:rPr>
      </w:pPr>
      <w:r w:rsidRPr="00E219DE">
        <w:rPr>
          <w:rFonts w:ascii="Times New Roman" w:hAnsi="Times New Roman"/>
          <w:sz w:val="20"/>
          <w:szCs w:val="20"/>
        </w:rPr>
        <w:t>Coastal aquifer groundwater is vulnerable to saltwater contamination as it is located near the coastline. Therefore, a study is conducted to confirm all the major source of pollutants on coastal groundwater based on 13 sampling wells that located close to Terengganu coastline as well as to assess the intensity of saltwater intrusion into the wells. Measurements of selected water quality parameters such as dissolve oxygen (DO), electrical conductivity (EC), total dissolve solid (TDS), salinity, pH, turbidity and total suspended solid (TSS) were obtained from each well by using certified scientific instruments. Data were analysed by using multivariate techniques which involves principle component analysis (PCA) and cluster analysis (CA). CA was performed by using hierarchical agglomerative cluster analysis (HACA) technique. PCA yielded two PCs where PC1 forms composite factor loadings of TDS, salinity and EC that represented the saltwater intrusion meanwhile, PC2 formed composite factors of turbidity, TSS and TDS that represented the anthropogenic pollutions. CA successfully classified sampling wells into seven clusters; Extreme High (EH), Very High (VH), High (H), Moderate (M), Low (L), Very Low (VL) and Extreme Low (EL) where each cluster represented the saltwater intrusion intensity in decreasing order.</w:t>
      </w:r>
    </w:p>
    <w:p w:rsidR="00E219DE" w:rsidRPr="00E219DE" w:rsidRDefault="00E219DE" w:rsidP="00E219DE">
      <w:pPr>
        <w:spacing w:after="0" w:line="240" w:lineRule="auto"/>
        <w:jc w:val="both"/>
        <w:rPr>
          <w:rFonts w:ascii="Times New Roman" w:hAnsi="Times New Roman"/>
          <w:sz w:val="20"/>
          <w:szCs w:val="20"/>
        </w:rPr>
      </w:pPr>
    </w:p>
    <w:p w:rsidR="00E219DE" w:rsidRPr="00E219DE" w:rsidRDefault="00E219DE" w:rsidP="00E219DE">
      <w:pPr>
        <w:spacing w:after="0" w:line="240" w:lineRule="auto"/>
        <w:jc w:val="both"/>
        <w:rPr>
          <w:rFonts w:ascii="Times New Roman" w:hAnsi="Times New Roman"/>
          <w:sz w:val="20"/>
          <w:szCs w:val="20"/>
        </w:rPr>
      </w:pPr>
      <w:r w:rsidRPr="00E219DE">
        <w:rPr>
          <w:rFonts w:ascii="Times New Roman" w:hAnsi="Times New Roman"/>
          <w:b/>
          <w:sz w:val="20"/>
          <w:szCs w:val="20"/>
        </w:rPr>
        <w:t>Keywords</w:t>
      </w:r>
      <w:r w:rsidRPr="00E219DE">
        <w:rPr>
          <w:rFonts w:ascii="Times New Roman" w:hAnsi="Times New Roman"/>
          <w:sz w:val="20"/>
          <w:szCs w:val="20"/>
        </w:rPr>
        <w:t>:  groundwater, coastal aquifer, saltwater intrusion, multivariate techniques</w:t>
      </w:r>
    </w:p>
    <w:p w:rsidR="00E219DE" w:rsidRPr="00E219DE" w:rsidRDefault="00E219DE" w:rsidP="00E219DE">
      <w:pPr>
        <w:spacing w:after="0" w:line="240" w:lineRule="auto"/>
        <w:jc w:val="both"/>
        <w:rPr>
          <w:rFonts w:ascii="Times New Roman" w:hAnsi="Times New Roman"/>
          <w:sz w:val="20"/>
          <w:szCs w:val="20"/>
        </w:rPr>
      </w:pPr>
    </w:p>
    <w:p w:rsidR="00E219DE" w:rsidRPr="00E219DE" w:rsidRDefault="00E219DE" w:rsidP="00E219DE">
      <w:pPr>
        <w:spacing w:after="0" w:line="240" w:lineRule="auto"/>
        <w:jc w:val="center"/>
        <w:rPr>
          <w:rFonts w:ascii="Times New Roman" w:hAnsi="Times New Roman"/>
          <w:b/>
          <w:sz w:val="20"/>
          <w:szCs w:val="20"/>
        </w:rPr>
      </w:pPr>
      <w:r w:rsidRPr="00E219DE">
        <w:rPr>
          <w:rFonts w:ascii="Times New Roman" w:hAnsi="Times New Roman"/>
          <w:b/>
          <w:sz w:val="20"/>
          <w:szCs w:val="20"/>
        </w:rPr>
        <w:t>Abstrak</w:t>
      </w:r>
    </w:p>
    <w:p w:rsidR="00E219DE" w:rsidRPr="00E219DE" w:rsidRDefault="00E219DE" w:rsidP="00E219DE">
      <w:pPr>
        <w:spacing w:after="0" w:line="240" w:lineRule="auto"/>
        <w:jc w:val="both"/>
        <w:rPr>
          <w:rFonts w:ascii="Times New Roman" w:hAnsi="Times New Roman"/>
          <w:sz w:val="20"/>
          <w:szCs w:val="20"/>
        </w:rPr>
      </w:pPr>
      <w:r w:rsidRPr="00E219DE">
        <w:rPr>
          <w:rFonts w:ascii="Times New Roman" w:hAnsi="Times New Roman"/>
          <w:sz w:val="20"/>
          <w:szCs w:val="20"/>
        </w:rPr>
        <w:t xml:space="preserve">Air bawah tanah dari akuifer pantai terdedah kepada pencemaran air masin kerana ia terletak berhampiran pantai. Oleh itu, satu kajian dijalankan untuk mengesahkan sumber utama pencemaran kepada air bawah tanah pantai berdasarkan 13 telaga persampelan yang terletak berhampiran kawasan pantai Terengganu serta untuk menilai keamatan pencerobohan air masin ke dalam telaga.Pengukuran parameter kualiti air seperti oksigen terlarut (DO), kekonduksian elektrik (EC), jumlah pepejal terlarut (TDS), kemasinan, pH, kekeruhan dan jumlah pepejal terampai (TSS) diambil dari setiap telaga dengan menggunakan peralatan saintifik. Data dianalisis menggunakan teknik multivariat iaitu analisis komponen utama (PCA) dan analisis kelompok (CA). CA dilakukan menggunakan teknik analisis kelompok hierarki agglomeratif (HACA). PCA menghasilkan dua PC yang mana, PC1 membentuk faktor komposit TDS, kemasinan dan EC yang mewakili pencerobohan air masin manakala, PC2 membentuk faktor komposit kekeruhan, TSS dan TDS yang mewakili pencemaran antropogenik. CA berjaya mengelaskan telaga </w:t>
      </w:r>
      <w:r w:rsidRPr="00E219DE">
        <w:rPr>
          <w:rFonts w:ascii="Times New Roman" w:hAnsi="Times New Roman"/>
          <w:sz w:val="20"/>
          <w:szCs w:val="20"/>
        </w:rPr>
        <w:lastRenderedPageBreak/>
        <w:t>persampelan kepada tujuh kelompok; Tinggi Ekstrem (EH), Sangat Tinggi (VH), Tinggi (H), Sederhana (M), Rendah (L), Sangat Rendah (VL) dan Rendah Ekstrem (EL) yang mana setiap kelompok mewakili keamatan pencerobohan air masin dalam urutan berkurangan.</w:t>
      </w:r>
    </w:p>
    <w:p w:rsidR="00E219DE" w:rsidRPr="00E219DE" w:rsidRDefault="00E219DE" w:rsidP="00E219DE">
      <w:pPr>
        <w:spacing w:after="0" w:line="240" w:lineRule="auto"/>
        <w:jc w:val="both"/>
        <w:rPr>
          <w:rFonts w:ascii="Times New Roman" w:hAnsi="Times New Roman"/>
          <w:sz w:val="20"/>
          <w:szCs w:val="20"/>
        </w:rPr>
      </w:pPr>
    </w:p>
    <w:p w:rsidR="0043030D" w:rsidRDefault="00E219DE" w:rsidP="00E219DE">
      <w:pPr>
        <w:spacing w:after="0" w:line="240" w:lineRule="auto"/>
        <w:jc w:val="both"/>
        <w:rPr>
          <w:rFonts w:ascii="Times New Roman" w:hAnsi="Times New Roman"/>
          <w:sz w:val="20"/>
          <w:szCs w:val="20"/>
        </w:rPr>
      </w:pPr>
      <w:r w:rsidRPr="00E219DE">
        <w:rPr>
          <w:rFonts w:ascii="Times New Roman" w:hAnsi="Times New Roman"/>
          <w:b/>
          <w:sz w:val="20"/>
          <w:szCs w:val="20"/>
        </w:rPr>
        <w:t>Kata kunci</w:t>
      </w:r>
      <w:r w:rsidRPr="00E219DE">
        <w:rPr>
          <w:rFonts w:ascii="Times New Roman" w:hAnsi="Times New Roman"/>
          <w:sz w:val="20"/>
          <w:szCs w:val="20"/>
        </w:rPr>
        <w:t>:  air bawah tanah, akuifer pantai, kemasukan air masin, teknik multivariat</w:t>
      </w:r>
    </w:p>
    <w:p w:rsidR="00EC2ADF" w:rsidRDefault="00EC2ADF" w:rsidP="00E219DE">
      <w:pPr>
        <w:spacing w:after="0" w:line="240" w:lineRule="auto"/>
        <w:jc w:val="both"/>
        <w:rPr>
          <w:rFonts w:ascii="Times New Roman" w:hAnsi="Times New Roman"/>
          <w:sz w:val="20"/>
          <w:szCs w:val="20"/>
        </w:rPr>
      </w:pPr>
    </w:p>
    <w:p w:rsidR="00EC2ADF" w:rsidRPr="00F447A7" w:rsidRDefault="00EC2ADF" w:rsidP="00EC2AD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C2ADF" w:rsidRPr="006E09A2"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6E09A2">
        <w:rPr>
          <w:rFonts w:ascii="Times New Roman" w:eastAsia="Calibri" w:hAnsi="Times New Roman"/>
          <w:sz w:val="20"/>
          <w:szCs w:val="20"/>
        </w:rPr>
        <w:t xml:space="preserve">Che-Ani, A. I., Shaari, N., Sairi, A., Zain, M. F. M., and Tahir, M. M. (2009). Rainwater harvesting as an alternative water supply in the future. </w:t>
      </w:r>
      <w:r w:rsidRPr="006E09A2">
        <w:rPr>
          <w:rFonts w:ascii="Times New Roman" w:eastAsia="Calibri" w:hAnsi="Times New Roman"/>
          <w:i/>
          <w:sz w:val="20"/>
          <w:szCs w:val="20"/>
        </w:rPr>
        <w:t>European Journal of Scientific Research</w:t>
      </w:r>
      <w:r w:rsidRPr="006E09A2">
        <w:rPr>
          <w:rFonts w:ascii="Times New Roman" w:eastAsia="Calibri" w:hAnsi="Times New Roman"/>
          <w:sz w:val="20"/>
          <w:szCs w:val="20"/>
        </w:rPr>
        <w:t xml:space="preserve"> 34(1): 132 – 140.</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6E09A2">
        <w:rPr>
          <w:rFonts w:ascii="Times New Roman" w:eastAsia="Calibri" w:hAnsi="Times New Roman"/>
          <w:sz w:val="20"/>
          <w:szCs w:val="20"/>
        </w:rPr>
        <w:t xml:space="preserve">Green, T. R., Taniguchi, M., Kooi, H., Gurdak, J. J., Allen, D. M., Hiscock, K. M., Treidel, H. and Aureli, A. (2011). Beneath the surface of global change: Impacts of climate change on groundwater. </w:t>
      </w:r>
      <w:r w:rsidRPr="006E09A2">
        <w:rPr>
          <w:rFonts w:ascii="Times New Roman" w:eastAsia="Calibri" w:hAnsi="Times New Roman"/>
          <w:i/>
          <w:iCs/>
          <w:sz w:val="20"/>
          <w:szCs w:val="20"/>
        </w:rPr>
        <w:t>Journal of Hydrology,</w:t>
      </w:r>
      <w:r w:rsidRPr="006E09A2">
        <w:rPr>
          <w:rFonts w:ascii="Times New Roman" w:eastAsia="Calibri" w:hAnsi="Times New Roman"/>
          <w:sz w:val="20"/>
          <w:szCs w:val="20"/>
        </w:rPr>
        <w:t xml:space="preserve"> </w:t>
      </w:r>
      <w:r w:rsidRPr="006E09A2">
        <w:rPr>
          <w:rFonts w:ascii="Times New Roman" w:eastAsia="Calibri" w:hAnsi="Times New Roman"/>
          <w:iCs/>
          <w:sz w:val="20"/>
          <w:szCs w:val="20"/>
        </w:rPr>
        <w:t>405</w:t>
      </w:r>
      <w:r w:rsidRPr="006E09A2">
        <w:rPr>
          <w:rFonts w:ascii="Times New Roman" w:eastAsia="Calibri" w:hAnsi="Times New Roman"/>
          <w:sz w:val="20"/>
          <w:szCs w:val="20"/>
        </w:rPr>
        <w:t>: 532 – 560.</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6E09A2">
        <w:rPr>
          <w:rFonts w:ascii="Times New Roman" w:eastAsia="Calibri" w:hAnsi="Times New Roman"/>
          <w:sz w:val="20"/>
          <w:szCs w:val="20"/>
        </w:rPr>
        <w:t xml:space="preserve">Choudhury, K., Saha, D. K., and Chakraborty, P. (2001). Geophysical study for saline water intrusion in a coastal alluvial terrain. </w:t>
      </w:r>
      <w:r w:rsidRPr="006E09A2">
        <w:rPr>
          <w:rFonts w:ascii="Times New Roman" w:eastAsia="Calibri" w:hAnsi="Times New Roman"/>
          <w:i/>
          <w:iCs/>
          <w:sz w:val="20"/>
          <w:szCs w:val="20"/>
        </w:rPr>
        <w:t>Journal of Applied Geophysics,</w:t>
      </w:r>
      <w:r w:rsidRPr="006E09A2">
        <w:rPr>
          <w:rFonts w:ascii="Times New Roman" w:eastAsia="Calibri" w:hAnsi="Times New Roman"/>
          <w:sz w:val="20"/>
          <w:szCs w:val="20"/>
        </w:rPr>
        <w:t xml:space="preserve"> </w:t>
      </w:r>
      <w:r w:rsidRPr="006E09A2">
        <w:rPr>
          <w:rFonts w:ascii="Times New Roman" w:eastAsia="Calibri" w:hAnsi="Times New Roman"/>
          <w:iCs/>
          <w:sz w:val="20"/>
          <w:szCs w:val="20"/>
        </w:rPr>
        <w:t>46(3)</w:t>
      </w:r>
      <w:r w:rsidRPr="006E09A2">
        <w:rPr>
          <w:rFonts w:ascii="Times New Roman" w:eastAsia="Calibri" w:hAnsi="Times New Roman"/>
          <w:sz w:val="20"/>
          <w:szCs w:val="20"/>
        </w:rPr>
        <w:t xml:space="preserve">: 189 – 200. </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Abdullah, M. H., Raveena, S. M., and Aris, A. Z. (2010). A numerical modelling of seawater intrusion into an oceanic island aquifer, Sipadan Island, Malaysia. </w:t>
      </w:r>
      <w:r w:rsidRPr="00BE1250">
        <w:rPr>
          <w:rFonts w:ascii="Times New Roman" w:eastAsia="Calibri" w:hAnsi="Times New Roman"/>
          <w:i/>
          <w:iCs/>
          <w:sz w:val="20"/>
          <w:szCs w:val="20"/>
        </w:rPr>
        <w:t>Sains Malaysiana</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39</w:t>
      </w:r>
      <w:r w:rsidRPr="00BE1250">
        <w:rPr>
          <w:rFonts w:ascii="Times New Roman" w:eastAsia="Calibri" w:hAnsi="Times New Roman"/>
          <w:sz w:val="20"/>
          <w:szCs w:val="20"/>
        </w:rPr>
        <w:t>(4): 525 – 532.</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Werner, A. D., Bakker, M., Post, V. E. A., Vandenbohede, A., Lu, C., Ataie-ashtiani, B., Simmons, C. T., and Barry, D. A. (2013). Seawater intrusion processes, investigation and management: Recent advances and future challenges. </w:t>
      </w:r>
      <w:r w:rsidRPr="00BE1250">
        <w:rPr>
          <w:rFonts w:ascii="Times New Roman" w:eastAsia="Calibri" w:hAnsi="Times New Roman"/>
          <w:i/>
          <w:sz w:val="20"/>
          <w:szCs w:val="20"/>
        </w:rPr>
        <w:t>Advances in Water Resources</w:t>
      </w:r>
      <w:r w:rsidRPr="00BE1250">
        <w:rPr>
          <w:rFonts w:ascii="Times New Roman" w:eastAsia="Calibri" w:hAnsi="Times New Roman"/>
          <w:sz w:val="20"/>
          <w:szCs w:val="20"/>
        </w:rPr>
        <w:t>, 51: 3 – 26.</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Samsudin, A. R., Haryono, A., Hamzah, U. and Rafek, A. G. (2008). Salinity mapping of coastal groundwater aquifers using hydrogeochemical and geophysical methods: A case study from north Kelantan, Malaysia. </w:t>
      </w:r>
      <w:r w:rsidRPr="00BE1250">
        <w:rPr>
          <w:rFonts w:ascii="Times New Roman" w:eastAsia="Calibri" w:hAnsi="Times New Roman"/>
          <w:i/>
          <w:iCs/>
          <w:sz w:val="20"/>
          <w:szCs w:val="20"/>
        </w:rPr>
        <w:t>Environmental Geology</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55(8)</w:t>
      </w:r>
      <w:r w:rsidRPr="00BE1250">
        <w:rPr>
          <w:rFonts w:ascii="Times New Roman" w:eastAsia="Calibri" w:hAnsi="Times New Roman"/>
          <w:sz w:val="20"/>
          <w:szCs w:val="20"/>
        </w:rPr>
        <w:t>: 1737 – 1743.</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Priyanka, B. N., and Mahesha, A. (2015). Parametric studies on saltwater intrusion into coastal aquifers for anticipate sea level rise. </w:t>
      </w:r>
      <w:r w:rsidRPr="00BE1250">
        <w:rPr>
          <w:rFonts w:ascii="Times New Roman" w:eastAsia="Calibri" w:hAnsi="Times New Roman"/>
          <w:i/>
          <w:iCs/>
          <w:sz w:val="20"/>
          <w:szCs w:val="20"/>
        </w:rPr>
        <w:t>Aquatic Procedia</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4</w:t>
      </w:r>
      <w:r w:rsidRPr="00BE1250">
        <w:rPr>
          <w:rFonts w:ascii="Times New Roman" w:eastAsia="Calibri" w:hAnsi="Times New Roman"/>
          <w:sz w:val="20"/>
          <w:szCs w:val="20"/>
        </w:rPr>
        <w:t>: 103 – 108.</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Abd-Elhamid, H. F. and Javadi, A. A. (2011). A density-dependant finite element model for analysis of saltwater intrusion in coastal aquifers. </w:t>
      </w:r>
      <w:r w:rsidRPr="00BE1250">
        <w:rPr>
          <w:rFonts w:ascii="Times New Roman" w:eastAsia="Calibri" w:hAnsi="Times New Roman"/>
          <w:i/>
          <w:iCs/>
          <w:sz w:val="20"/>
          <w:szCs w:val="20"/>
        </w:rPr>
        <w:t>Journal of Hydrology</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401</w:t>
      </w:r>
      <w:r w:rsidRPr="00BE1250">
        <w:rPr>
          <w:rFonts w:ascii="Times New Roman" w:eastAsia="Calibri" w:hAnsi="Times New Roman"/>
          <w:sz w:val="20"/>
          <w:szCs w:val="20"/>
        </w:rPr>
        <w:t>(3): 259 – 271.</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Yao-Dong, D., Xu-Hua, C., Xian-Wei, W., Hui, A., Hai-Lai, D., Jian, H. and Xiao-Xuan, W. (2013). A review of assessment and adaptation strategy to climate change impacts on the coastal areas in South China. </w:t>
      </w:r>
      <w:r w:rsidRPr="00BE1250">
        <w:rPr>
          <w:rFonts w:ascii="Times New Roman" w:eastAsia="Calibri" w:hAnsi="Times New Roman"/>
          <w:i/>
          <w:sz w:val="20"/>
          <w:szCs w:val="20"/>
        </w:rPr>
        <w:t>Advances in Climate Change Research</w:t>
      </w:r>
      <w:r w:rsidRPr="00BE1250">
        <w:rPr>
          <w:rFonts w:ascii="Times New Roman" w:eastAsia="Calibri" w:hAnsi="Times New Roman"/>
          <w:sz w:val="20"/>
          <w:szCs w:val="20"/>
        </w:rPr>
        <w:t>, 4(4): 201 – 207.</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Chang, S. W., Clement, T. P., Simpson, M. J. and Lee, K. K. (2011). Does sea-level rise have an impact on saltwater intrusion? </w:t>
      </w:r>
      <w:r w:rsidRPr="00BE1250">
        <w:rPr>
          <w:rFonts w:ascii="Times New Roman" w:eastAsia="Calibri" w:hAnsi="Times New Roman"/>
          <w:i/>
          <w:iCs/>
          <w:sz w:val="20"/>
          <w:szCs w:val="20"/>
        </w:rPr>
        <w:t>Advances in Water Resources</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34(10)</w:t>
      </w:r>
      <w:r w:rsidRPr="00BE1250">
        <w:rPr>
          <w:rFonts w:ascii="Times New Roman" w:eastAsia="Calibri" w:hAnsi="Times New Roman"/>
          <w:sz w:val="20"/>
          <w:szCs w:val="20"/>
        </w:rPr>
        <w:t>: 1283 – 1291.</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Tomaszkiewicz, M., Abou, N. M. and El-Fadel, M. (2014). Development of a groundwater quality index for seawater intrusion in coastal aquifers. </w:t>
      </w:r>
      <w:r w:rsidRPr="00BE1250">
        <w:rPr>
          <w:rFonts w:ascii="Times New Roman" w:eastAsia="Calibri" w:hAnsi="Times New Roman"/>
          <w:i/>
          <w:iCs/>
          <w:sz w:val="20"/>
          <w:szCs w:val="20"/>
        </w:rPr>
        <w:t>Environmental Modelling &amp; Software</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57</w:t>
      </w:r>
      <w:r w:rsidRPr="00BE1250">
        <w:rPr>
          <w:rFonts w:ascii="Times New Roman" w:eastAsia="Calibri" w:hAnsi="Times New Roman"/>
          <w:sz w:val="20"/>
          <w:szCs w:val="20"/>
        </w:rPr>
        <w:t>: 13 – 26.</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Gasim, M. B., Khalid, N. A., and Muhamad, H. (2015). The influence of tidal activities on water quality of Paka River Terengganu, Malaysia. </w:t>
      </w:r>
      <w:r w:rsidRPr="00BE1250">
        <w:rPr>
          <w:rFonts w:ascii="Times New Roman" w:eastAsia="Calibri" w:hAnsi="Times New Roman"/>
          <w:i/>
          <w:sz w:val="20"/>
          <w:szCs w:val="20"/>
        </w:rPr>
        <w:t>Malaysian Journal of Analytical Sciences</w:t>
      </w:r>
      <w:r w:rsidRPr="00BE1250">
        <w:rPr>
          <w:rFonts w:ascii="Times New Roman" w:eastAsia="Calibri" w:hAnsi="Times New Roman"/>
          <w:sz w:val="20"/>
          <w:szCs w:val="20"/>
        </w:rPr>
        <w:t>, 19(5): 979 – 990.</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Toriman, M. E., Gasim, M. B., Ariffin, N. H., Muhamad, H. and Hairoma, N. (2015). The influence of tidal activities on hydrologic variables of Marang River, Terengganu, Malaysia. </w:t>
      </w:r>
      <w:r w:rsidRPr="00BE1250">
        <w:rPr>
          <w:rFonts w:ascii="Times New Roman" w:eastAsia="Calibri" w:hAnsi="Times New Roman"/>
          <w:i/>
          <w:sz w:val="20"/>
          <w:szCs w:val="20"/>
        </w:rPr>
        <w:t>Malaysian Journal of Analytical Sciences</w:t>
      </w:r>
      <w:r w:rsidRPr="00BE1250">
        <w:rPr>
          <w:rFonts w:ascii="Times New Roman" w:eastAsia="Calibri" w:hAnsi="Times New Roman"/>
          <w:sz w:val="20"/>
          <w:szCs w:val="20"/>
        </w:rPr>
        <w:t>, 19(5): 1099 – 1108.</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Sharif, S. M., Kusin, F. M., Asha’ari, Z. H. and Aris, A. Z. (2015). Characterization of water quality conditions in the klang river basin, malaysia using self-organizing map and k-means algorithm. </w:t>
      </w:r>
      <w:r w:rsidRPr="00BE1250">
        <w:rPr>
          <w:rFonts w:ascii="Times New Roman" w:eastAsia="Calibri" w:hAnsi="Times New Roman"/>
          <w:i/>
          <w:sz w:val="20"/>
          <w:szCs w:val="20"/>
        </w:rPr>
        <w:t>Procedia Environmental Sciences</w:t>
      </w:r>
      <w:r w:rsidRPr="00BE1250">
        <w:rPr>
          <w:rFonts w:ascii="Times New Roman" w:eastAsia="Calibri" w:hAnsi="Times New Roman"/>
          <w:sz w:val="20"/>
          <w:szCs w:val="20"/>
        </w:rPr>
        <w:t>, 30: 73–78.</w:t>
      </w:r>
    </w:p>
    <w:p w:rsidR="00EC2ADF" w:rsidRPr="00BE1250"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Raj, J. K., Tan D. N., and Abdullah W. H. (2009)</w:t>
      </w:r>
      <w:r w:rsidRPr="00BE1250">
        <w:rPr>
          <w:rFonts w:ascii="Times New Roman" w:hAnsi="Times New Roman"/>
          <w:sz w:val="20"/>
          <w:szCs w:val="20"/>
        </w:rPr>
        <w:t xml:space="preserve">. Cenozoic stratigraphy. In </w:t>
      </w:r>
      <w:r w:rsidRPr="00BE1250">
        <w:rPr>
          <w:rFonts w:ascii="Times New Roman" w:hAnsi="Times New Roman"/>
          <w:i/>
          <w:sz w:val="20"/>
          <w:szCs w:val="20"/>
        </w:rPr>
        <w:t>Geology of Peninsular Malaysia.</w:t>
      </w:r>
      <w:r w:rsidRPr="00BE1250">
        <w:rPr>
          <w:rFonts w:ascii="Times New Roman" w:hAnsi="Times New Roman"/>
          <w:sz w:val="20"/>
          <w:szCs w:val="20"/>
        </w:rPr>
        <w:t xml:space="preserve"> Kuala Lumpur: University of Malaya: pp. 164 – 168.</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Hassan, K. B. (1989). Significance of palynology in late quaternary sediments in Peninsular Malaysia. </w:t>
      </w:r>
      <w:r w:rsidRPr="00BE1250">
        <w:rPr>
          <w:rFonts w:ascii="Times New Roman" w:eastAsia="Calibri" w:hAnsi="Times New Roman"/>
          <w:i/>
          <w:iCs/>
          <w:sz w:val="20"/>
          <w:szCs w:val="20"/>
        </w:rPr>
        <w:t>Geological Society of Malaysia</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 xml:space="preserve">24: </w:t>
      </w:r>
      <w:r w:rsidRPr="00BE1250">
        <w:rPr>
          <w:rFonts w:ascii="Times New Roman" w:eastAsia="Calibri" w:hAnsi="Times New Roman"/>
          <w:sz w:val="20"/>
          <w:szCs w:val="20"/>
        </w:rPr>
        <w:t>57 – 66.</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Saghravani, S. R., Yusoff, I., Wan Md Tahir, W. Z. and Othman, Z. (2015). Estimating recharge based on long-term groundwater table fluctuation monitoring in a shallow aquifer of Malaysian tropical rainforest catchment. </w:t>
      </w:r>
      <w:r w:rsidRPr="00BE1250">
        <w:rPr>
          <w:rFonts w:ascii="Times New Roman" w:eastAsia="Calibri" w:hAnsi="Times New Roman"/>
          <w:i/>
          <w:iCs/>
          <w:sz w:val="20"/>
          <w:szCs w:val="20"/>
        </w:rPr>
        <w:t>Environmental Earth Sciences,</w:t>
      </w:r>
      <w:r w:rsidRPr="00BE1250">
        <w:rPr>
          <w:rFonts w:ascii="Times New Roman" w:eastAsia="Calibri" w:hAnsi="Times New Roman"/>
          <w:sz w:val="20"/>
          <w:szCs w:val="20"/>
        </w:rPr>
        <w:t xml:space="preserve"> 74(6): 4577 – 4587.</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Feseker, T. (2007). Numerical studies on saltwater intrusion in a coastal aquifer in Northwestern Germany. </w:t>
      </w:r>
      <w:r w:rsidRPr="00BE1250">
        <w:rPr>
          <w:rFonts w:ascii="Times New Roman" w:eastAsia="Calibri" w:hAnsi="Times New Roman"/>
          <w:i/>
          <w:iCs/>
          <w:sz w:val="20"/>
          <w:szCs w:val="20"/>
        </w:rPr>
        <w:t>Hydrogeology Journal</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15(2)</w:t>
      </w:r>
      <w:r w:rsidRPr="00BE1250">
        <w:rPr>
          <w:rFonts w:ascii="Times New Roman" w:eastAsia="Calibri" w:hAnsi="Times New Roman"/>
          <w:sz w:val="20"/>
          <w:szCs w:val="20"/>
        </w:rPr>
        <w:t>: 267 – 279.</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Biglari, A. and Sutherland, J. C. (2015). An a-posteriori Evaluation of principal component analysis-based models for turbulent combustion simulations. </w:t>
      </w:r>
      <w:r w:rsidRPr="00BE1250">
        <w:rPr>
          <w:rFonts w:ascii="Times New Roman" w:eastAsia="Calibri" w:hAnsi="Times New Roman"/>
          <w:i/>
          <w:iCs/>
          <w:sz w:val="20"/>
          <w:szCs w:val="20"/>
        </w:rPr>
        <w:t>Combust and Flame</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162(10)</w:t>
      </w:r>
      <w:r w:rsidRPr="00BE1250">
        <w:rPr>
          <w:rFonts w:ascii="Times New Roman" w:eastAsia="Calibri" w:hAnsi="Times New Roman"/>
          <w:sz w:val="20"/>
          <w:szCs w:val="20"/>
        </w:rPr>
        <w:t>: 4025 – 4035.</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lastRenderedPageBreak/>
        <w:t>Tantra, R., Oksel, C., Robinson, K. N., Sikora, A., Wang, X. Z. and Wilkins, T. A. (2015). A method for assessing nanomaterial dispersion quality based on principal component analysis of particle size distribution data. </w:t>
      </w:r>
      <w:r w:rsidRPr="00BE1250">
        <w:rPr>
          <w:rFonts w:ascii="Times New Roman" w:eastAsia="Calibri" w:hAnsi="Times New Roman"/>
          <w:i/>
          <w:iCs/>
          <w:sz w:val="20"/>
          <w:szCs w:val="20"/>
        </w:rPr>
        <w:t>Particuology,</w:t>
      </w:r>
      <w:r w:rsidRPr="00BE1250">
        <w:rPr>
          <w:rFonts w:ascii="Times New Roman" w:eastAsia="Calibri" w:hAnsi="Times New Roman"/>
          <w:sz w:val="20"/>
          <w:szCs w:val="20"/>
        </w:rPr>
        <w:t xml:space="preserve"> 22: 30 – 38.</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Parente, A. and Sutherland, J. C. (2013). Principal component analysis of turbulent combustion data: Data pre-processing and manifold sensitivity. </w:t>
      </w:r>
      <w:r w:rsidRPr="00BE1250">
        <w:rPr>
          <w:rFonts w:ascii="Times New Roman" w:eastAsia="Calibri" w:hAnsi="Times New Roman"/>
          <w:i/>
          <w:iCs/>
          <w:sz w:val="20"/>
          <w:szCs w:val="20"/>
        </w:rPr>
        <w:t>Combustion and Flame,</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160(2)</w:t>
      </w:r>
      <w:r w:rsidRPr="00BE1250">
        <w:rPr>
          <w:rFonts w:ascii="Times New Roman" w:eastAsia="Calibri" w:hAnsi="Times New Roman"/>
          <w:sz w:val="20"/>
          <w:szCs w:val="20"/>
        </w:rPr>
        <w:t>: 340 – 350.</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Kasim, M. K., Juahir, H., Tawnie, I., Azid, A., Saudi, A.S.M., Samsudin, S., Toriman, M.E., Fazli, B.M., and Hasnam, C.N.C. (2015). Environmetric techniques application in water quality assessment: A case study in Linggi River basin. </w:t>
      </w:r>
      <w:r w:rsidRPr="00BE1250">
        <w:rPr>
          <w:rFonts w:ascii="Times New Roman" w:eastAsia="Calibri" w:hAnsi="Times New Roman"/>
          <w:i/>
          <w:sz w:val="20"/>
          <w:szCs w:val="20"/>
        </w:rPr>
        <w:t>Jurnal Teknologi (Sciences &amp; Engineering)</w:t>
      </w:r>
      <w:r w:rsidRPr="00BE1250">
        <w:rPr>
          <w:rFonts w:ascii="Times New Roman" w:eastAsia="Calibri" w:hAnsi="Times New Roman"/>
          <w:sz w:val="20"/>
          <w:szCs w:val="20"/>
        </w:rPr>
        <w:t xml:space="preserve"> 74(1): 151–157.</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Aminu Ibrahim, A., Juahir, H., Toriman, M.E., Mustapha, A., Azid, A. and Isiyaka, H.A. (2015). Assessment of surface water quality using multivariate statistical techniques in the Terengganu River basin.  </w:t>
      </w:r>
      <w:r w:rsidRPr="00BE1250">
        <w:rPr>
          <w:rFonts w:ascii="Times New Roman" w:eastAsia="Calibri" w:hAnsi="Times New Roman"/>
          <w:i/>
          <w:sz w:val="20"/>
          <w:szCs w:val="20"/>
        </w:rPr>
        <w:t>Malaysian Journal of Analytical Sciences,</w:t>
      </w:r>
      <w:r w:rsidRPr="00BE1250">
        <w:rPr>
          <w:rFonts w:ascii="Times New Roman" w:eastAsia="Calibri" w:hAnsi="Times New Roman"/>
          <w:sz w:val="20"/>
          <w:szCs w:val="20"/>
        </w:rPr>
        <w:t xml:space="preserve"> 19(2): 338 – 348.</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BE1250">
        <w:rPr>
          <w:rFonts w:ascii="Times New Roman" w:eastAsia="Calibri" w:hAnsi="Times New Roman"/>
          <w:sz w:val="20"/>
          <w:szCs w:val="20"/>
        </w:rPr>
        <w:t xml:space="preserve">Maritan, L., Holakooei, P. and Mazzoli, C. (2015). Cluster analysis of XRPD data in ancient ceramics: What for? </w:t>
      </w:r>
      <w:r w:rsidRPr="00BE1250">
        <w:rPr>
          <w:rFonts w:ascii="Times New Roman" w:eastAsia="Calibri" w:hAnsi="Times New Roman"/>
          <w:i/>
          <w:iCs/>
          <w:sz w:val="20"/>
          <w:szCs w:val="20"/>
        </w:rPr>
        <w:t>Applied Clay Science,</w:t>
      </w:r>
      <w:r w:rsidRPr="00BE1250">
        <w:rPr>
          <w:rFonts w:ascii="Times New Roman" w:eastAsia="Calibri" w:hAnsi="Times New Roman"/>
          <w:sz w:val="20"/>
          <w:szCs w:val="20"/>
        </w:rPr>
        <w:t xml:space="preserve"> </w:t>
      </w:r>
      <w:r w:rsidRPr="00BE1250">
        <w:rPr>
          <w:rFonts w:ascii="Times New Roman" w:eastAsia="Calibri" w:hAnsi="Times New Roman"/>
          <w:iCs/>
          <w:sz w:val="20"/>
          <w:szCs w:val="20"/>
        </w:rPr>
        <w:t>114</w:t>
      </w:r>
      <w:r w:rsidRPr="00BE1250">
        <w:rPr>
          <w:rFonts w:ascii="Times New Roman" w:eastAsia="Calibri" w:hAnsi="Times New Roman"/>
          <w:sz w:val="20"/>
          <w:szCs w:val="20"/>
        </w:rPr>
        <w:t>: 540 – 549.</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9D251D">
        <w:rPr>
          <w:rFonts w:ascii="Times New Roman" w:eastAsia="Calibri" w:hAnsi="Times New Roman"/>
          <w:sz w:val="20"/>
          <w:szCs w:val="20"/>
        </w:rPr>
        <w:t xml:space="preserve">Shrestha, S. and Kazama, F. (2007). Assessment of surface water quality using multivariate statistical techniques: A case study of the Fuji river basin, Japan. </w:t>
      </w:r>
      <w:r w:rsidRPr="009D251D">
        <w:rPr>
          <w:rFonts w:ascii="Times New Roman" w:eastAsia="Calibri" w:hAnsi="Times New Roman"/>
          <w:i/>
          <w:sz w:val="20"/>
          <w:szCs w:val="20"/>
        </w:rPr>
        <w:t>Environmental Modelling &amp; Software,</w:t>
      </w:r>
      <w:r w:rsidRPr="009D251D">
        <w:rPr>
          <w:rFonts w:ascii="Times New Roman" w:eastAsia="Calibri" w:hAnsi="Times New Roman"/>
          <w:sz w:val="20"/>
          <w:szCs w:val="20"/>
        </w:rPr>
        <w:t xml:space="preserve"> 22(4): 464 – 475.</w:t>
      </w:r>
    </w:p>
    <w:p w:rsidR="00EC2ADF" w:rsidRDefault="00EC2ADF" w:rsidP="00EC2ADF">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9D251D">
        <w:rPr>
          <w:rFonts w:ascii="Times New Roman" w:eastAsia="Calibri" w:hAnsi="Times New Roman"/>
          <w:sz w:val="20"/>
          <w:szCs w:val="20"/>
        </w:rPr>
        <w:t xml:space="preserve">Liu, C. W., Lin, K. H. and Kuo, Y. M. (2003). Application of factor analysis in the assessment of groundwater quality in a blackfoot disease area in Taiwan. </w:t>
      </w:r>
      <w:r w:rsidRPr="009D251D">
        <w:rPr>
          <w:rFonts w:ascii="Times New Roman" w:eastAsia="Calibri" w:hAnsi="Times New Roman"/>
          <w:i/>
          <w:sz w:val="20"/>
          <w:szCs w:val="20"/>
        </w:rPr>
        <w:t>Science of the Total Environment</w:t>
      </w:r>
      <w:r w:rsidRPr="009D251D">
        <w:rPr>
          <w:rFonts w:ascii="Times New Roman" w:eastAsia="Calibri" w:hAnsi="Times New Roman"/>
          <w:sz w:val="20"/>
          <w:szCs w:val="20"/>
        </w:rPr>
        <w:t>. 313(1): 77 – 89.</w:t>
      </w:r>
    </w:p>
    <w:p w:rsidR="00EC2ADF" w:rsidRDefault="00EC2ADF" w:rsidP="00E219DE">
      <w:pPr>
        <w:pStyle w:val="ListParagraph"/>
        <w:numPr>
          <w:ilvl w:val="0"/>
          <w:numId w:val="1"/>
        </w:numPr>
        <w:spacing w:after="0" w:line="240" w:lineRule="auto"/>
        <w:ind w:left="360"/>
        <w:contextualSpacing w:val="0"/>
        <w:jc w:val="both"/>
        <w:rPr>
          <w:rFonts w:ascii="Times New Roman" w:eastAsia="Calibri" w:hAnsi="Times New Roman"/>
          <w:sz w:val="20"/>
          <w:szCs w:val="20"/>
        </w:rPr>
      </w:pPr>
      <w:r w:rsidRPr="009D251D">
        <w:rPr>
          <w:rFonts w:ascii="Times New Roman" w:eastAsia="Calibri" w:hAnsi="Times New Roman"/>
          <w:sz w:val="20"/>
          <w:szCs w:val="20"/>
        </w:rPr>
        <w:t xml:space="preserve">Mokhtar, M., Bahari, I., and Poon, A. (2001). Kualiti air di sekitar kawasan perindustrian Balakong, Lembangan Langat. </w:t>
      </w:r>
      <w:r w:rsidRPr="009D251D">
        <w:rPr>
          <w:rFonts w:ascii="Times New Roman" w:eastAsia="Calibri" w:hAnsi="Times New Roman"/>
          <w:i/>
          <w:sz w:val="20"/>
          <w:szCs w:val="20"/>
        </w:rPr>
        <w:t>Malaysian Journal of Analytical Sciences</w:t>
      </w:r>
      <w:r w:rsidRPr="009D251D">
        <w:rPr>
          <w:rFonts w:ascii="Times New Roman" w:eastAsia="Calibri" w:hAnsi="Times New Roman"/>
          <w:sz w:val="20"/>
          <w:szCs w:val="20"/>
        </w:rPr>
        <w:t xml:space="preserve"> 7(1): 129 – 138.</w:t>
      </w:r>
    </w:p>
    <w:p w:rsidR="00EC2ADF" w:rsidRPr="00EC2ADF" w:rsidRDefault="00EC2ADF" w:rsidP="00EC2ADF">
      <w:pPr>
        <w:spacing w:after="0" w:line="240" w:lineRule="auto"/>
        <w:jc w:val="both"/>
        <w:rPr>
          <w:rFonts w:ascii="Times New Roman" w:eastAsia="Calibri" w:hAnsi="Times New Roman"/>
          <w:sz w:val="20"/>
          <w:szCs w:val="20"/>
        </w:rPr>
      </w:pPr>
    </w:p>
    <w:sectPr w:rsidR="00EC2ADF" w:rsidRPr="00EC2ADF" w:rsidSect="00E219DE">
      <w:pgSz w:w="12240" w:h="15840"/>
      <w:pgMar w:top="1800" w:right="1469" w:bottom="1699" w:left="14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E55D5"/>
    <w:multiLevelType w:val="hybridMultilevel"/>
    <w:tmpl w:val="ED0EC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9DE"/>
    <w:rsid w:val="0043030D"/>
    <w:rsid w:val="004D23A4"/>
    <w:rsid w:val="00D0718B"/>
    <w:rsid w:val="00D40B1F"/>
    <w:rsid w:val="00E219DE"/>
    <w:rsid w:val="00EC2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9DE"/>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A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9DE"/>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A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1418</Words>
  <Characters>7918</Characters>
  <Application>Microsoft Office Word</Application>
  <DocSecurity>0</DocSecurity>
  <Lines>158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3</cp:revision>
  <dcterms:created xsi:type="dcterms:W3CDTF">2016-09-28T00:58:00Z</dcterms:created>
  <dcterms:modified xsi:type="dcterms:W3CDTF">2016-09-28T15:01:00Z</dcterms:modified>
</cp:coreProperties>
</file>