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E02" w:rsidRDefault="00235E02" w:rsidP="00235E02">
      <w:pPr>
        <w:spacing w:after="0" w:line="240" w:lineRule="auto"/>
        <w:rPr>
          <w:rFonts w:ascii="Times New Roman" w:hAnsi="Times New Roman"/>
          <w:sz w:val="24"/>
          <w:szCs w:val="24"/>
        </w:rPr>
      </w:pPr>
      <w:r>
        <w:rPr>
          <w:rFonts w:ascii="Times New Roman" w:hAnsi="Times New Roman"/>
          <w:sz w:val="24"/>
          <w:szCs w:val="24"/>
        </w:rPr>
        <w:t>Malaysian Journal of Analytical Sciences Vol 20 No 6 (2016): 1346 -1358</w:t>
      </w:r>
    </w:p>
    <w:p w:rsidR="00235E02" w:rsidRDefault="00235E02" w:rsidP="00235E02">
      <w:pPr>
        <w:spacing w:after="0" w:line="240" w:lineRule="auto"/>
        <w:rPr>
          <w:rFonts w:ascii="Times New Roman" w:hAnsi="Times New Roman"/>
          <w:sz w:val="24"/>
          <w:szCs w:val="24"/>
        </w:rPr>
      </w:pPr>
    </w:p>
    <w:p w:rsidR="00235E02" w:rsidRDefault="00235E02" w:rsidP="00235E02">
      <w:pPr>
        <w:spacing w:after="0" w:line="240" w:lineRule="auto"/>
        <w:rPr>
          <w:rFonts w:ascii="Times New Roman" w:hAnsi="Times New Roman"/>
          <w:sz w:val="24"/>
          <w:szCs w:val="24"/>
        </w:rPr>
      </w:pPr>
    </w:p>
    <w:p w:rsidR="00235E02" w:rsidRPr="00235E02" w:rsidRDefault="00235E02" w:rsidP="00235E02">
      <w:pPr>
        <w:spacing w:after="0" w:line="240" w:lineRule="auto"/>
        <w:rPr>
          <w:rFonts w:ascii="Times New Roman" w:hAnsi="Times New Roman"/>
          <w:sz w:val="24"/>
          <w:szCs w:val="24"/>
        </w:rPr>
      </w:pPr>
    </w:p>
    <w:p w:rsidR="00235E02" w:rsidRDefault="00235E02" w:rsidP="00235E02">
      <w:pPr>
        <w:spacing w:after="0" w:line="240" w:lineRule="auto"/>
        <w:jc w:val="center"/>
        <w:rPr>
          <w:rFonts w:ascii="Times New Roman" w:hAnsi="Times New Roman"/>
          <w:sz w:val="28"/>
        </w:rPr>
      </w:pPr>
      <w:r>
        <w:rPr>
          <w:rFonts w:ascii="Times New Roman" w:hAnsi="Times New Roman"/>
          <w:sz w:val="28"/>
        </w:rPr>
        <w:t>PESTICIDES RESIDUES IN AGRICULTURAL SOILS AND ITS HEALTH ASSESSMENT FOR HUMANS IN CAMERON HIGHLANDS, MALAYSIA</w:t>
      </w:r>
    </w:p>
    <w:p w:rsidR="00235E02" w:rsidRPr="00F447A7" w:rsidRDefault="00235E02" w:rsidP="00235E02">
      <w:pPr>
        <w:spacing w:after="0" w:line="240" w:lineRule="auto"/>
        <w:jc w:val="center"/>
        <w:rPr>
          <w:rFonts w:ascii="Times New Roman" w:hAnsi="Times New Roman"/>
          <w:noProof/>
          <w:sz w:val="24"/>
          <w:szCs w:val="24"/>
          <w:lang w:bidi="ar-SA"/>
        </w:rPr>
      </w:pPr>
    </w:p>
    <w:p w:rsidR="00235E02" w:rsidRDefault="00235E02" w:rsidP="00235E02">
      <w:pPr>
        <w:spacing w:after="0" w:line="240" w:lineRule="auto"/>
        <w:jc w:val="center"/>
        <w:rPr>
          <w:rFonts w:ascii="Times New Roman" w:hAnsi="Times New Roman"/>
          <w:sz w:val="24"/>
          <w:szCs w:val="24"/>
        </w:rPr>
      </w:pPr>
      <w:r w:rsidRPr="00380174">
        <w:rPr>
          <w:rFonts w:ascii="Times New Roman" w:hAnsi="Times New Roman"/>
          <w:sz w:val="24"/>
          <w:szCs w:val="24"/>
        </w:rPr>
        <w:t xml:space="preserve">(Residu Racun Serangga dalam Tanah Pertanian dan Penilaian Kesihatan Terhadap Manusia </w:t>
      </w:r>
    </w:p>
    <w:p w:rsidR="00235E02" w:rsidRPr="00380174" w:rsidRDefault="00235E02" w:rsidP="00235E02">
      <w:pPr>
        <w:spacing w:after="0" w:line="240" w:lineRule="auto"/>
        <w:jc w:val="center"/>
        <w:rPr>
          <w:rFonts w:ascii="Times New Roman" w:hAnsi="Times New Roman"/>
          <w:sz w:val="24"/>
          <w:szCs w:val="24"/>
        </w:rPr>
      </w:pPr>
      <w:r w:rsidRPr="00380174">
        <w:rPr>
          <w:rFonts w:ascii="Times New Roman" w:hAnsi="Times New Roman"/>
          <w:sz w:val="24"/>
          <w:szCs w:val="24"/>
        </w:rPr>
        <w:t>di Cameron Highlands, Malaysia)</w:t>
      </w:r>
    </w:p>
    <w:p w:rsidR="00235E02" w:rsidRPr="00F447A7" w:rsidRDefault="00235E02" w:rsidP="00235E02">
      <w:pPr>
        <w:spacing w:after="0" w:line="240" w:lineRule="auto"/>
        <w:jc w:val="center"/>
        <w:rPr>
          <w:rFonts w:ascii="Times New Roman" w:hAnsi="Times New Roman"/>
          <w:noProof/>
          <w:sz w:val="20"/>
          <w:szCs w:val="20"/>
          <w:lang w:bidi="ar-SA"/>
        </w:rPr>
      </w:pPr>
    </w:p>
    <w:p w:rsidR="00235E02" w:rsidRDefault="00235E02" w:rsidP="00235E02">
      <w:pPr>
        <w:spacing w:after="0" w:line="240" w:lineRule="auto"/>
        <w:jc w:val="center"/>
        <w:rPr>
          <w:rFonts w:ascii="Times New Roman" w:hAnsi="Times New Roman"/>
          <w:color w:val="000000" w:themeColor="text1"/>
          <w:sz w:val="20"/>
          <w:vertAlign w:val="superscript"/>
          <w:lang w:val="de-DE"/>
        </w:rPr>
      </w:pPr>
      <w:r w:rsidRPr="0030468D">
        <w:rPr>
          <w:rFonts w:ascii="Times New Roman" w:hAnsi="Times New Roman"/>
          <w:sz w:val="20"/>
          <w:lang w:val="de-DE"/>
        </w:rPr>
        <w:t>Yang Farina</w:t>
      </w:r>
      <w:r>
        <w:rPr>
          <w:rFonts w:ascii="Times New Roman" w:hAnsi="Times New Roman"/>
          <w:sz w:val="20"/>
          <w:vertAlign w:val="superscript"/>
        </w:rPr>
        <w:t>1, 2</w:t>
      </w:r>
      <w:r w:rsidRPr="00380174">
        <w:rPr>
          <w:rFonts w:ascii="Times New Roman" w:hAnsi="Times New Roman"/>
          <w:sz w:val="20"/>
        </w:rPr>
        <w:t>*</w:t>
      </w:r>
      <w:r>
        <w:rPr>
          <w:rFonts w:ascii="Times New Roman" w:hAnsi="Times New Roman"/>
          <w:sz w:val="20"/>
          <w:lang w:val="de-DE"/>
        </w:rPr>
        <w:t xml:space="preserve">, Md Pauzi </w:t>
      </w:r>
      <w:r w:rsidRPr="0030468D">
        <w:rPr>
          <w:rFonts w:ascii="Times New Roman" w:hAnsi="Times New Roman"/>
          <w:sz w:val="20"/>
          <w:lang w:val="de-DE"/>
        </w:rPr>
        <w:t>Abdullah</w:t>
      </w:r>
      <w:r w:rsidRPr="001D39BA">
        <w:rPr>
          <w:rFonts w:ascii="Times New Roman" w:hAnsi="Times New Roman"/>
          <w:sz w:val="20"/>
          <w:vertAlign w:val="superscript"/>
          <w:lang w:val="de-DE"/>
        </w:rPr>
        <w:t>1, 2</w:t>
      </w:r>
      <w:r w:rsidRPr="0030468D">
        <w:rPr>
          <w:rFonts w:ascii="Times New Roman" w:hAnsi="Times New Roman"/>
          <w:sz w:val="20"/>
          <w:lang w:val="de-DE"/>
        </w:rPr>
        <w:t>, Nusrat Bibi</w:t>
      </w:r>
      <w:r>
        <w:rPr>
          <w:rFonts w:ascii="Times New Roman" w:hAnsi="Times New Roman"/>
          <w:sz w:val="20"/>
          <w:vertAlign w:val="superscript"/>
        </w:rPr>
        <w:t>1</w:t>
      </w:r>
      <w:r w:rsidRPr="001D39BA">
        <w:rPr>
          <w:rFonts w:ascii="Times New Roman" w:hAnsi="Times New Roman"/>
          <w:sz w:val="20"/>
          <w:vertAlign w:val="superscript"/>
          <w:lang w:val="de-DE"/>
        </w:rPr>
        <w:t>,3</w:t>
      </w:r>
      <w:r>
        <w:rPr>
          <w:rFonts w:ascii="Times New Roman" w:hAnsi="Times New Roman"/>
          <w:sz w:val="20"/>
          <w:lang w:val="de-DE"/>
        </w:rPr>
        <w:t xml:space="preserve">, </w:t>
      </w:r>
      <w:r w:rsidRPr="0030468D">
        <w:rPr>
          <w:rFonts w:ascii="Times New Roman" w:hAnsi="Times New Roman"/>
          <w:color w:val="000000" w:themeColor="text1"/>
          <w:sz w:val="20"/>
          <w:lang w:val="de-DE"/>
        </w:rPr>
        <w:t>Wan Mohd Afiq Wan Mohd Khalik</w:t>
      </w:r>
      <w:r>
        <w:rPr>
          <w:rFonts w:ascii="Times New Roman" w:hAnsi="Times New Roman"/>
          <w:color w:val="000000" w:themeColor="text1"/>
          <w:sz w:val="20"/>
          <w:vertAlign w:val="superscript"/>
          <w:lang w:val="de-DE"/>
        </w:rPr>
        <w:t xml:space="preserve">1 </w:t>
      </w:r>
    </w:p>
    <w:p w:rsidR="00235E02" w:rsidRPr="00235E02" w:rsidRDefault="00235E02" w:rsidP="00235E02">
      <w:pPr>
        <w:spacing w:after="0" w:line="240" w:lineRule="auto"/>
        <w:jc w:val="center"/>
        <w:rPr>
          <w:rFonts w:ascii="Times New Roman" w:hAnsi="Times New Roman"/>
          <w:noProof/>
          <w:sz w:val="20"/>
          <w:szCs w:val="20"/>
          <w:lang w:bidi="ar-SA"/>
        </w:rPr>
      </w:pPr>
    </w:p>
    <w:p w:rsidR="00235E02" w:rsidRPr="00235E02" w:rsidRDefault="00235E02" w:rsidP="00235E02">
      <w:pPr>
        <w:spacing w:after="0"/>
        <w:jc w:val="center"/>
        <w:rPr>
          <w:rFonts w:ascii="Times New Roman" w:hAnsi="Times New Roman"/>
          <w:i/>
          <w:sz w:val="20"/>
          <w:szCs w:val="20"/>
          <w:lang w:val="en-GB"/>
        </w:rPr>
      </w:pPr>
      <w:r w:rsidRPr="00235E02">
        <w:rPr>
          <w:rFonts w:ascii="Times New Roman" w:hAnsi="Times New Roman"/>
          <w:i/>
          <w:sz w:val="20"/>
          <w:szCs w:val="20"/>
          <w:vertAlign w:val="superscript"/>
          <w:lang w:val="en-GB"/>
        </w:rPr>
        <w:t>1</w:t>
      </w:r>
      <w:r w:rsidRPr="00235E02">
        <w:rPr>
          <w:rFonts w:ascii="Times New Roman" w:hAnsi="Times New Roman"/>
          <w:i/>
          <w:sz w:val="20"/>
          <w:szCs w:val="20"/>
          <w:lang w:val="en-GB"/>
        </w:rPr>
        <w:t>School of Chemical Sciences and Food Technology, Faculty of Science and Technology,</w:t>
      </w:r>
    </w:p>
    <w:p w:rsidR="00235E02" w:rsidRPr="00235E02" w:rsidRDefault="00235E02" w:rsidP="00235E02">
      <w:pPr>
        <w:spacing w:after="0"/>
        <w:jc w:val="center"/>
        <w:rPr>
          <w:rFonts w:ascii="Times New Roman" w:hAnsi="Times New Roman"/>
          <w:i/>
          <w:sz w:val="20"/>
          <w:szCs w:val="20"/>
          <w:lang w:val="en-GB"/>
        </w:rPr>
      </w:pPr>
      <w:r w:rsidRPr="00235E02">
        <w:rPr>
          <w:rFonts w:ascii="Times New Roman" w:hAnsi="Times New Roman"/>
          <w:i/>
          <w:sz w:val="20"/>
          <w:szCs w:val="20"/>
          <w:lang w:val="en-GB"/>
        </w:rPr>
        <w:t>Universiti Kebangsaan Malaysia, 43600 UKM Bangi, Selangor, Malaysia</w:t>
      </w:r>
    </w:p>
    <w:p w:rsidR="00235E02" w:rsidRPr="00235E02" w:rsidRDefault="00235E02" w:rsidP="00235E02">
      <w:pPr>
        <w:spacing w:after="0"/>
        <w:jc w:val="center"/>
        <w:rPr>
          <w:rFonts w:ascii="Times New Roman" w:hAnsi="Times New Roman"/>
          <w:i/>
          <w:sz w:val="20"/>
          <w:szCs w:val="20"/>
        </w:rPr>
      </w:pPr>
      <w:r w:rsidRPr="00235E02">
        <w:rPr>
          <w:rFonts w:ascii="Times New Roman" w:hAnsi="Times New Roman"/>
          <w:i/>
          <w:sz w:val="20"/>
          <w:szCs w:val="20"/>
          <w:vertAlign w:val="superscript"/>
        </w:rPr>
        <w:t>2</w:t>
      </w:r>
      <w:r w:rsidRPr="00235E02">
        <w:rPr>
          <w:rFonts w:ascii="Times New Roman" w:hAnsi="Times New Roman"/>
          <w:i/>
          <w:sz w:val="20"/>
          <w:szCs w:val="20"/>
        </w:rPr>
        <w:t xml:space="preserve">Centre for Water Research and Analysis, Faculty of Science and Technology, </w:t>
      </w:r>
    </w:p>
    <w:p w:rsidR="00235E02" w:rsidRPr="00235E02" w:rsidRDefault="00235E02" w:rsidP="00235E02">
      <w:pPr>
        <w:spacing w:after="0"/>
        <w:jc w:val="center"/>
        <w:rPr>
          <w:rFonts w:ascii="Times New Roman" w:hAnsi="Times New Roman"/>
          <w:i/>
          <w:sz w:val="20"/>
          <w:szCs w:val="20"/>
        </w:rPr>
      </w:pPr>
      <w:r w:rsidRPr="00235E02">
        <w:rPr>
          <w:rFonts w:ascii="Times New Roman" w:hAnsi="Times New Roman"/>
          <w:i/>
          <w:sz w:val="20"/>
          <w:szCs w:val="20"/>
        </w:rPr>
        <w:t>Universiti Kebangsaan Malaysia, 43600 UKM Bangi, Selangor, Malaysia</w:t>
      </w:r>
    </w:p>
    <w:p w:rsidR="00235E02" w:rsidRPr="00235E02" w:rsidRDefault="00235E02" w:rsidP="00235E02">
      <w:pPr>
        <w:spacing w:after="0"/>
        <w:ind w:left="426"/>
        <w:jc w:val="center"/>
        <w:rPr>
          <w:rFonts w:ascii="Times New Roman" w:hAnsi="Times New Roman"/>
          <w:i/>
          <w:sz w:val="20"/>
          <w:szCs w:val="20"/>
        </w:rPr>
      </w:pPr>
      <w:r w:rsidRPr="00235E02">
        <w:rPr>
          <w:rFonts w:ascii="Times New Roman" w:hAnsi="Times New Roman"/>
          <w:i/>
          <w:sz w:val="20"/>
          <w:szCs w:val="20"/>
          <w:vertAlign w:val="superscript"/>
        </w:rPr>
        <w:t>3</w:t>
      </w:r>
      <w:r w:rsidRPr="00235E02">
        <w:rPr>
          <w:rFonts w:ascii="Times New Roman" w:hAnsi="Times New Roman"/>
          <w:i/>
          <w:sz w:val="20"/>
          <w:szCs w:val="20"/>
        </w:rPr>
        <w:t xml:space="preserve">Department of Chemistry, Faculty of Science, </w:t>
      </w:r>
    </w:p>
    <w:p w:rsidR="00235E02" w:rsidRPr="00235E02" w:rsidRDefault="00235E02" w:rsidP="00235E02">
      <w:pPr>
        <w:spacing w:after="0"/>
        <w:jc w:val="center"/>
        <w:rPr>
          <w:rFonts w:ascii="Times New Roman" w:hAnsi="Times New Roman"/>
          <w:i/>
          <w:sz w:val="20"/>
          <w:szCs w:val="20"/>
        </w:rPr>
      </w:pPr>
      <w:r w:rsidRPr="00235E02">
        <w:rPr>
          <w:rFonts w:ascii="Times New Roman" w:hAnsi="Times New Roman"/>
          <w:i/>
          <w:sz w:val="20"/>
          <w:szCs w:val="20"/>
        </w:rPr>
        <w:t>Sardar Bahadur Khan Women University, Quetta, Pakistan</w:t>
      </w:r>
    </w:p>
    <w:p w:rsidR="00235E02" w:rsidRPr="00235E02" w:rsidRDefault="00235E02" w:rsidP="00235E02">
      <w:pPr>
        <w:spacing w:after="0" w:line="240" w:lineRule="auto"/>
        <w:jc w:val="center"/>
        <w:rPr>
          <w:rFonts w:ascii="Times New Roman" w:hAnsi="Times New Roman"/>
          <w:noProof/>
          <w:sz w:val="20"/>
          <w:szCs w:val="20"/>
          <w:lang w:bidi="ar-SA"/>
        </w:rPr>
      </w:pPr>
    </w:p>
    <w:p w:rsidR="00235E02" w:rsidRPr="00235E02" w:rsidRDefault="00235E02" w:rsidP="00235E02">
      <w:pPr>
        <w:spacing w:after="0" w:line="240" w:lineRule="auto"/>
        <w:jc w:val="center"/>
        <w:rPr>
          <w:rFonts w:ascii="Times New Roman" w:hAnsi="Times New Roman"/>
          <w:i/>
          <w:noProof/>
          <w:sz w:val="20"/>
          <w:szCs w:val="20"/>
          <w:lang w:bidi="ar-SA"/>
        </w:rPr>
      </w:pPr>
      <w:r w:rsidRPr="00235E02">
        <w:rPr>
          <w:rFonts w:ascii="Times New Roman" w:hAnsi="Times New Roman"/>
          <w:i/>
          <w:noProof/>
          <w:sz w:val="20"/>
          <w:szCs w:val="20"/>
          <w:lang w:bidi="ar-SA"/>
        </w:rPr>
        <w:t xml:space="preserve">*Corresponding author: </w:t>
      </w:r>
      <w:r w:rsidRPr="00235E02">
        <w:rPr>
          <w:rFonts w:ascii="Times New Roman" w:hAnsi="Times New Roman"/>
          <w:i/>
          <w:sz w:val="20"/>
          <w:szCs w:val="20"/>
        </w:rPr>
        <w:t>farina@ukm.edu.my</w:t>
      </w:r>
    </w:p>
    <w:p w:rsidR="00235E02" w:rsidRPr="00235E02" w:rsidRDefault="00235E02" w:rsidP="00235E02">
      <w:pPr>
        <w:spacing w:after="0" w:line="240" w:lineRule="auto"/>
        <w:jc w:val="center"/>
        <w:rPr>
          <w:rFonts w:ascii="Times New Roman" w:hAnsi="Times New Roman"/>
          <w:noProof/>
          <w:sz w:val="20"/>
          <w:szCs w:val="20"/>
          <w:lang w:bidi="ar-SA"/>
        </w:rPr>
      </w:pPr>
    </w:p>
    <w:p w:rsidR="00235E02" w:rsidRPr="00235E02" w:rsidRDefault="00235E02" w:rsidP="00235E02">
      <w:pPr>
        <w:spacing w:after="0" w:line="240" w:lineRule="auto"/>
        <w:jc w:val="center"/>
        <w:rPr>
          <w:rFonts w:ascii="Times New Roman" w:hAnsi="Times New Roman"/>
          <w:noProof/>
          <w:sz w:val="20"/>
          <w:szCs w:val="20"/>
          <w:lang w:bidi="ar-SA"/>
        </w:rPr>
      </w:pPr>
    </w:p>
    <w:p w:rsidR="00235E02" w:rsidRPr="00235E02" w:rsidRDefault="00235E02" w:rsidP="00235E02">
      <w:pPr>
        <w:spacing w:after="0" w:line="240" w:lineRule="auto"/>
        <w:jc w:val="center"/>
        <w:rPr>
          <w:rFonts w:ascii="Times New Roman" w:hAnsi="Times New Roman"/>
          <w:noProof/>
          <w:sz w:val="20"/>
          <w:szCs w:val="20"/>
          <w:lang w:bidi="ar-SA"/>
        </w:rPr>
      </w:pPr>
      <w:r w:rsidRPr="00235E02">
        <w:rPr>
          <w:rFonts w:ascii="Times New Roman" w:hAnsi="Times New Roman"/>
          <w:noProof/>
          <w:sz w:val="20"/>
          <w:szCs w:val="20"/>
          <w:lang w:bidi="ar-SA"/>
        </w:rPr>
        <w:t>Received: 16 May 2016; Accepted: 21 September 2016</w:t>
      </w:r>
    </w:p>
    <w:p w:rsidR="00235E02" w:rsidRPr="00235E02" w:rsidRDefault="00235E02" w:rsidP="00235E02">
      <w:pPr>
        <w:spacing w:after="0" w:line="240" w:lineRule="auto"/>
        <w:jc w:val="center"/>
        <w:rPr>
          <w:rFonts w:ascii="Times New Roman" w:hAnsi="Times New Roman"/>
          <w:noProof/>
          <w:sz w:val="20"/>
          <w:szCs w:val="20"/>
          <w:lang w:bidi="ar-SA"/>
        </w:rPr>
      </w:pPr>
    </w:p>
    <w:p w:rsidR="00235E02" w:rsidRPr="00235E02" w:rsidRDefault="00235E02" w:rsidP="00235E02">
      <w:pPr>
        <w:spacing w:after="0" w:line="240" w:lineRule="auto"/>
        <w:jc w:val="center"/>
        <w:rPr>
          <w:rFonts w:ascii="Times New Roman" w:hAnsi="Times New Roman"/>
          <w:noProof/>
          <w:sz w:val="20"/>
          <w:szCs w:val="20"/>
          <w:lang w:bidi="ar-SA"/>
        </w:rPr>
      </w:pPr>
    </w:p>
    <w:p w:rsidR="00235E02" w:rsidRPr="00235E02" w:rsidRDefault="00235E02" w:rsidP="00235E02">
      <w:pPr>
        <w:spacing w:after="0" w:line="240" w:lineRule="auto"/>
        <w:jc w:val="center"/>
        <w:rPr>
          <w:rFonts w:ascii="Times New Roman" w:hAnsi="Times New Roman"/>
          <w:b/>
          <w:noProof/>
          <w:sz w:val="20"/>
          <w:szCs w:val="20"/>
          <w:lang w:bidi="ar-SA"/>
        </w:rPr>
      </w:pPr>
      <w:r w:rsidRPr="00235E02">
        <w:rPr>
          <w:rFonts w:ascii="Times New Roman" w:hAnsi="Times New Roman"/>
          <w:b/>
          <w:noProof/>
          <w:sz w:val="20"/>
          <w:szCs w:val="20"/>
          <w:lang w:bidi="ar-SA"/>
        </w:rPr>
        <w:t>Abstract</w:t>
      </w:r>
    </w:p>
    <w:p w:rsidR="00235E02" w:rsidRPr="00235E02" w:rsidRDefault="00235E02" w:rsidP="0052471D">
      <w:pPr>
        <w:spacing w:after="0" w:line="240" w:lineRule="auto"/>
        <w:ind w:right="-14"/>
        <w:jc w:val="both"/>
        <w:rPr>
          <w:rFonts w:ascii="Times New Roman" w:hAnsi="Times New Roman"/>
          <w:color w:val="222222"/>
          <w:sz w:val="20"/>
          <w:szCs w:val="20"/>
          <w:shd w:val="clear" w:color="auto" w:fill="FFFFFF"/>
        </w:rPr>
      </w:pPr>
      <w:r w:rsidRPr="00235E02">
        <w:rPr>
          <w:rFonts w:ascii="Times New Roman" w:hAnsi="Times New Roman"/>
          <w:sz w:val="20"/>
          <w:szCs w:val="20"/>
        </w:rPr>
        <w:t xml:space="preserve">Soil contamination is one of the sensitive issue in agricultural region of Cameron Highlands, Malaysia, which is a largest vegetable producer. Organochlorine pesticides (OCPs), organophosphorus pesticides (OPPs) and pyrethroids pesticides (PYRs) concentrations were measured in 35 soil samples of selected crops. Among OCPs, the average concentration in the soil of these crops grown was in the order of cauliflowers &gt; cabbage &gt; broccoli &gt; lettuce &gt; celery &gt; spinach &gt; mustard, while for OPPs; </w:t>
      </w:r>
      <w:r w:rsidRPr="00235E02">
        <w:rPr>
          <w:rFonts w:ascii="Times New Roman" w:hAnsi="Times New Roman"/>
          <w:color w:val="222222"/>
          <w:sz w:val="20"/>
          <w:szCs w:val="20"/>
          <w:shd w:val="clear" w:color="auto" w:fill="FFFFFF"/>
        </w:rPr>
        <w:t xml:space="preserve">spinach &gt; broccoli &gt; cabbage &gt; cauliflower &gt; celery &gt; lettuce &gt; mustard &gt; and for PYRs it was broccoli &gt; cabbage &gt; cauliflower &gt; spinach &gt; mustard &gt; celery &gt; lettuce. For risk assessment life time average daily dose (LADD) of  </w:t>
      </w:r>
      <w:r w:rsidRPr="00235E02">
        <w:rPr>
          <w:rFonts w:ascii="Times New Roman" w:hAnsi="Times New Roman"/>
          <w:sz w:val="20"/>
          <w:szCs w:val="20"/>
        </w:rPr>
        <w:sym w:font="Symbol" w:char="F053"/>
      </w:r>
      <w:r w:rsidRPr="00235E02">
        <w:rPr>
          <w:rFonts w:ascii="Times New Roman" w:hAnsi="Times New Roman"/>
          <w:color w:val="222222"/>
          <w:sz w:val="20"/>
          <w:szCs w:val="20"/>
          <w:shd w:val="clear" w:color="auto" w:fill="FFFFFF"/>
        </w:rPr>
        <w:t xml:space="preserve">OCPs, </w:t>
      </w:r>
      <w:r w:rsidRPr="00235E02">
        <w:rPr>
          <w:rFonts w:ascii="Times New Roman" w:hAnsi="Times New Roman"/>
          <w:sz w:val="20"/>
          <w:szCs w:val="20"/>
        </w:rPr>
        <w:sym w:font="Symbol" w:char="F053"/>
      </w:r>
      <w:r w:rsidRPr="00235E02">
        <w:rPr>
          <w:rFonts w:ascii="Times New Roman" w:hAnsi="Times New Roman"/>
          <w:sz w:val="20"/>
          <w:szCs w:val="20"/>
        </w:rPr>
        <w:t xml:space="preserve">OPPs and </w:t>
      </w:r>
      <w:r w:rsidRPr="00235E02">
        <w:rPr>
          <w:rFonts w:ascii="Times New Roman" w:hAnsi="Times New Roman"/>
          <w:sz w:val="20"/>
          <w:szCs w:val="20"/>
        </w:rPr>
        <w:sym w:font="Symbol" w:char="F053"/>
      </w:r>
      <w:r w:rsidRPr="00235E02">
        <w:rPr>
          <w:rFonts w:ascii="Times New Roman" w:hAnsi="Times New Roman"/>
          <w:sz w:val="20"/>
          <w:szCs w:val="20"/>
        </w:rPr>
        <w:t>PYRs</w:t>
      </w:r>
      <w:r w:rsidRPr="00235E02">
        <w:rPr>
          <w:rFonts w:ascii="Times New Roman" w:hAnsi="Times New Roman"/>
          <w:color w:val="222222"/>
          <w:sz w:val="20"/>
          <w:szCs w:val="20"/>
          <w:shd w:val="clear" w:color="auto" w:fill="FFFFFF"/>
        </w:rPr>
        <w:t xml:space="preserve"> for adults were calculated at 2.1 x 10</w:t>
      </w:r>
      <w:r w:rsidRPr="00235E02">
        <w:rPr>
          <w:rFonts w:ascii="Times New Roman" w:hAnsi="Times New Roman"/>
          <w:color w:val="222222"/>
          <w:sz w:val="20"/>
          <w:szCs w:val="20"/>
          <w:shd w:val="clear" w:color="auto" w:fill="FFFFFF"/>
          <w:vertAlign w:val="superscript"/>
        </w:rPr>
        <w:t xml:space="preserve">-7 </w:t>
      </w:r>
      <w:r w:rsidRPr="00235E02">
        <w:rPr>
          <w:rFonts w:ascii="Times New Roman" w:hAnsi="Times New Roman"/>
          <w:color w:val="222222"/>
          <w:sz w:val="20"/>
          <w:szCs w:val="20"/>
          <w:shd w:val="clear" w:color="auto" w:fill="FFFFFF"/>
        </w:rPr>
        <w:t>– 1 x 10</w:t>
      </w:r>
      <w:r w:rsidRPr="00235E02">
        <w:rPr>
          <w:rFonts w:ascii="Times New Roman" w:hAnsi="Times New Roman"/>
          <w:color w:val="222222"/>
          <w:sz w:val="20"/>
          <w:szCs w:val="20"/>
          <w:shd w:val="clear" w:color="auto" w:fill="FFFFFF"/>
          <w:vertAlign w:val="superscript"/>
        </w:rPr>
        <w:t xml:space="preserve">-6 </w:t>
      </w:r>
      <w:r w:rsidRPr="00235E02">
        <w:rPr>
          <w:rFonts w:ascii="Times New Roman" w:hAnsi="Times New Roman"/>
          <w:sz w:val="20"/>
          <w:szCs w:val="20"/>
        </w:rPr>
        <w:t>mg kg</w:t>
      </w:r>
      <w:r w:rsidRPr="00235E02">
        <w:rPr>
          <w:rFonts w:ascii="Times New Roman" w:hAnsi="Times New Roman"/>
          <w:sz w:val="20"/>
          <w:szCs w:val="20"/>
          <w:vertAlign w:val="superscript"/>
        </w:rPr>
        <w:t xml:space="preserve">-1 </w:t>
      </w:r>
      <w:r w:rsidRPr="00235E02">
        <w:rPr>
          <w:rFonts w:ascii="Times New Roman" w:hAnsi="Times New Roman"/>
          <w:sz w:val="20"/>
          <w:szCs w:val="20"/>
        </w:rPr>
        <w:t>d</w:t>
      </w:r>
      <w:r w:rsidRPr="00235E02">
        <w:rPr>
          <w:rFonts w:ascii="Times New Roman" w:hAnsi="Times New Roman"/>
          <w:sz w:val="20"/>
          <w:szCs w:val="20"/>
          <w:vertAlign w:val="superscript"/>
        </w:rPr>
        <w:t>-1</w:t>
      </w:r>
      <w:r w:rsidRPr="00235E02">
        <w:rPr>
          <w:rFonts w:ascii="Times New Roman" w:hAnsi="Times New Roman"/>
          <w:color w:val="222222"/>
          <w:sz w:val="20"/>
          <w:szCs w:val="20"/>
          <w:shd w:val="clear" w:color="auto" w:fill="FFFFFF"/>
        </w:rPr>
        <w:t>, 1.46 x 10</w:t>
      </w:r>
      <w:r w:rsidRPr="00235E02">
        <w:rPr>
          <w:rFonts w:ascii="Times New Roman" w:hAnsi="Times New Roman"/>
          <w:color w:val="222222"/>
          <w:sz w:val="20"/>
          <w:szCs w:val="20"/>
          <w:shd w:val="clear" w:color="auto" w:fill="FFFFFF"/>
          <w:vertAlign w:val="superscript"/>
        </w:rPr>
        <w:t xml:space="preserve">-11 </w:t>
      </w:r>
      <w:r w:rsidRPr="00235E02">
        <w:rPr>
          <w:rFonts w:ascii="Times New Roman" w:hAnsi="Times New Roman"/>
          <w:color w:val="222222"/>
          <w:sz w:val="20"/>
          <w:szCs w:val="20"/>
          <w:shd w:val="clear" w:color="auto" w:fill="FFFFFF"/>
        </w:rPr>
        <w:t>– 3.6 x 10</w:t>
      </w:r>
      <w:r w:rsidRPr="00235E02">
        <w:rPr>
          <w:rFonts w:ascii="Times New Roman" w:hAnsi="Times New Roman"/>
          <w:color w:val="222222"/>
          <w:sz w:val="20"/>
          <w:szCs w:val="20"/>
          <w:shd w:val="clear" w:color="auto" w:fill="FFFFFF"/>
          <w:vertAlign w:val="superscript"/>
        </w:rPr>
        <w:t xml:space="preserve">-10 </w:t>
      </w:r>
      <w:r w:rsidRPr="00235E02">
        <w:rPr>
          <w:rFonts w:ascii="Times New Roman" w:hAnsi="Times New Roman"/>
          <w:sz w:val="20"/>
          <w:szCs w:val="20"/>
        </w:rPr>
        <w:t>mg kg</w:t>
      </w:r>
      <w:r w:rsidRPr="00235E02">
        <w:rPr>
          <w:rFonts w:ascii="Times New Roman" w:hAnsi="Times New Roman"/>
          <w:sz w:val="20"/>
          <w:szCs w:val="20"/>
          <w:vertAlign w:val="superscript"/>
        </w:rPr>
        <w:t xml:space="preserve">-1 </w:t>
      </w:r>
      <w:r w:rsidRPr="00235E02">
        <w:rPr>
          <w:rFonts w:ascii="Times New Roman" w:hAnsi="Times New Roman"/>
          <w:sz w:val="20"/>
          <w:szCs w:val="20"/>
        </w:rPr>
        <w:t>d</w:t>
      </w:r>
      <w:r w:rsidRPr="00235E02">
        <w:rPr>
          <w:rFonts w:ascii="Times New Roman" w:hAnsi="Times New Roman"/>
          <w:sz w:val="20"/>
          <w:szCs w:val="20"/>
          <w:vertAlign w:val="superscript"/>
        </w:rPr>
        <w:t>-1</w:t>
      </w:r>
      <w:r w:rsidRPr="00235E02">
        <w:rPr>
          <w:rFonts w:ascii="Times New Roman" w:hAnsi="Times New Roman"/>
          <w:color w:val="222222"/>
          <w:sz w:val="20"/>
          <w:szCs w:val="20"/>
          <w:shd w:val="clear" w:color="auto" w:fill="FFFFFF"/>
        </w:rPr>
        <w:t xml:space="preserve"> and </w:t>
      </w:r>
      <w:r w:rsidRPr="00235E02">
        <w:rPr>
          <w:rFonts w:ascii="Times New Roman" w:hAnsi="Times New Roman"/>
          <w:sz w:val="20"/>
          <w:szCs w:val="20"/>
        </w:rPr>
        <w:t>1.28 x 10</w:t>
      </w:r>
      <w:r w:rsidRPr="00235E02">
        <w:rPr>
          <w:rFonts w:ascii="Times New Roman" w:hAnsi="Times New Roman"/>
          <w:sz w:val="20"/>
          <w:szCs w:val="20"/>
          <w:vertAlign w:val="superscript"/>
        </w:rPr>
        <w:t xml:space="preserve">-12 </w:t>
      </w:r>
      <w:r w:rsidRPr="00235E02">
        <w:rPr>
          <w:rFonts w:ascii="Times New Roman" w:hAnsi="Times New Roman"/>
          <w:sz w:val="20"/>
          <w:szCs w:val="20"/>
        </w:rPr>
        <w:t>– 3.42 x 10</w:t>
      </w:r>
      <w:r w:rsidRPr="00235E02">
        <w:rPr>
          <w:rFonts w:ascii="Times New Roman" w:hAnsi="Times New Roman"/>
          <w:sz w:val="20"/>
          <w:szCs w:val="20"/>
          <w:vertAlign w:val="superscript"/>
        </w:rPr>
        <w:t xml:space="preserve">-12 </w:t>
      </w:r>
      <w:r w:rsidRPr="00235E02">
        <w:rPr>
          <w:rFonts w:ascii="Times New Roman" w:hAnsi="Times New Roman"/>
          <w:sz w:val="20"/>
          <w:szCs w:val="20"/>
        </w:rPr>
        <w:t>mg kg</w:t>
      </w:r>
      <w:r w:rsidRPr="00235E02">
        <w:rPr>
          <w:rFonts w:ascii="Times New Roman" w:hAnsi="Times New Roman"/>
          <w:sz w:val="20"/>
          <w:szCs w:val="20"/>
          <w:vertAlign w:val="superscript"/>
        </w:rPr>
        <w:t xml:space="preserve">-1 </w:t>
      </w:r>
      <w:r w:rsidRPr="00235E02">
        <w:rPr>
          <w:rFonts w:ascii="Times New Roman" w:hAnsi="Times New Roman"/>
          <w:sz w:val="20"/>
          <w:szCs w:val="20"/>
        </w:rPr>
        <w:t>d</w:t>
      </w:r>
      <w:r w:rsidRPr="00235E02">
        <w:rPr>
          <w:rFonts w:ascii="Times New Roman" w:hAnsi="Times New Roman"/>
          <w:sz w:val="20"/>
          <w:szCs w:val="20"/>
          <w:vertAlign w:val="superscript"/>
        </w:rPr>
        <w:t xml:space="preserve">-1  </w:t>
      </w:r>
      <w:r w:rsidRPr="00235E02">
        <w:rPr>
          <w:rFonts w:ascii="Times New Roman" w:hAnsi="Times New Roman"/>
          <w:color w:val="222222"/>
          <w:sz w:val="20"/>
          <w:szCs w:val="20"/>
          <w:shd w:val="clear" w:color="auto" w:fill="FFFFFF"/>
        </w:rPr>
        <w:t>meanwhile for children  5.3 x 10</w:t>
      </w:r>
      <w:r w:rsidRPr="00235E02">
        <w:rPr>
          <w:rFonts w:ascii="Times New Roman" w:hAnsi="Times New Roman"/>
          <w:color w:val="222222"/>
          <w:sz w:val="20"/>
          <w:szCs w:val="20"/>
          <w:shd w:val="clear" w:color="auto" w:fill="FFFFFF"/>
          <w:vertAlign w:val="superscript"/>
        </w:rPr>
        <w:t xml:space="preserve">-8 </w:t>
      </w:r>
      <w:r w:rsidRPr="00235E02">
        <w:rPr>
          <w:rFonts w:ascii="Times New Roman" w:hAnsi="Times New Roman"/>
          <w:color w:val="222222"/>
          <w:sz w:val="20"/>
          <w:szCs w:val="20"/>
          <w:shd w:val="clear" w:color="auto" w:fill="FFFFFF"/>
        </w:rPr>
        <w:t>– 2.7 x 10</w:t>
      </w:r>
      <w:r w:rsidRPr="00235E02">
        <w:rPr>
          <w:rFonts w:ascii="Times New Roman" w:hAnsi="Times New Roman"/>
          <w:color w:val="222222"/>
          <w:sz w:val="20"/>
          <w:szCs w:val="20"/>
          <w:shd w:val="clear" w:color="auto" w:fill="FFFFFF"/>
          <w:vertAlign w:val="superscript"/>
        </w:rPr>
        <w:t xml:space="preserve">-7 </w:t>
      </w:r>
      <w:r w:rsidRPr="00235E02">
        <w:rPr>
          <w:rFonts w:ascii="Times New Roman" w:hAnsi="Times New Roman"/>
          <w:sz w:val="20"/>
          <w:szCs w:val="20"/>
        </w:rPr>
        <w:t>mg kg</w:t>
      </w:r>
      <w:r w:rsidRPr="00235E02">
        <w:rPr>
          <w:rFonts w:ascii="Times New Roman" w:hAnsi="Times New Roman"/>
          <w:sz w:val="20"/>
          <w:szCs w:val="20"/>
          <w:vertAlign w:val="superscript"/>
        </w:rPr>
        <w:t xml:space="preserve">-1 </w:t>
      </w:r>
      <w:r w:rsidRPr="00235E02">
        <w:rPr>
          <w:rFonts w:ascii="Times New Roman" w:hAnsi="Times New Roman"/>
          <w:sz w:val="20"/>
          <w:szCs w:val="20"/>
        </w:rPr>
        <w:t>d</w:t>
      </w:r>
      <w:r w:rsidRPr="00235E02">
        <w:rPr>
          <w:rFonts w:ascii="Times New Roman" w:hAnsi="Times New Roman"/>
          <w:sz w:val="20"/>
          <w:szCs w:val="20"/>
          <w:vertAlign w:val="superscript"/>
        </w:rPr>
        <w:t>-1</w:t>
      </w:r>
      <w:r w:rsidRPr="00235E02">
        <w:rPr>
          <w:rFonts w:ascii="Times New Roman" w:hAnsi="Times New Roman"/>
          <w:sz w:val="20"/>
          <w:szCs w:val="20"/>
        </w:rPr>
        <w:t>,</w:t>
      </w:r>
      <w:r w:rsidRPr="00235E02">
        <w:rPr>
          <w:rFonts w:ascii="Times New Roman" w:hAnsi="Times New Roman"/>
          <w:sz w:val="20"/>
          <w:szCs w:val="20"/>
          <w:vertAlign w:val="superscript"/>
        </w:rPr>
        <w:t xml:space="preserve">  </w:t>
      </w:r>
      <w:r w:rsidRPr="00235E02">
        <w:rPr>
          <w:rFonts w:ascii="Times New Roman" w:hAnsi="Times New Roman"/>
          <w:sz w:val="20"/>
          <w:szCs w:val="20"/>
        </w:rPr>
        <w:t>3.8 x 10</w:t>
      </w:r>
      <w:r w:rsidRPr="00235E02">
        <w:rPr>
          <w:rFonts w:ascii="Times New Roman" w:hAnsi="Times New Roman"/>
          <w:sz w:val="20"/>
          <w:szCs w:val="20"/>
          <w:vertAlign w:val="superscript"/>
        </w:rPr>
        <w:t xml:space="preserve">-11 </w:t>
      </w:r>
      <w:r w:rsidRPr="00235E02">
        <w:rPr>
          <w:rFonts w:ascii="Times New Roman" w:hAnsi="Times New Roman"/>
          <w:sz w:val="20"/>
          <w:szCs w:val="20"/>
        </w:rPr>
        <w:t>– 9.4 x 10</w:t>
      </w:r>
      <w:r w:rsidRPr="00235E02">
        <w:rPr>
          <w:rFonts w:ascii="Times New Roman" w:hAnsi="Times New Roman"/>
          <w:sz w:val="20"/>
          <w:szCs w:val="20"/>
          <w:vertAlign w:val="superscript"/>
        </w:rPr>
        <w:t xml:space="preserve">-10 </w:t>
      </w:r>
      <w:r w:rsidRPr="00235E02">
        <w:rPr>
          <w:rFonts w:ascii="Times New Roman" w:hAnsi="Times New Roman"/>
          <w:sz w:val="20"/>
          <w:szCs w:val="20"/>
        </w:rPr>
        <w:t>mg kg</w:t>
      </w:r>
      <w:r w:rsidRPr="00235E02">
        <w:rPr>
          <w:rFonts w:ascii="Times New Roman" w:hAnsi="Times New Roman"/>
          <w:sz w:val="20"/>
          <w:szCs w:val="20"/>
          <w:vertAlign w:val="superscript"/>
        </w:rPr>
        <w:t xml:space="preserve">-1 </w:t>
      </w:r>
      <w:r w:rsidRPr="00235E02">
        <w:rPr>
          <w:rFonts w:ascii="Times New Roman" w:hAnsi="Times New Roman"/>
          <w:sz w:val="20"/>
          <w:szCs w:val="20"/>
        </w:rPr>
        <w:t>d</w:t>
      </w:r>
      <w:r w:rsidRPr="00235E02">
        <w:rPr>
          <w:rFonts w:ascii="Times New Roman" w:hAnsi="Times New Roman"/>
          <w:sz w:val="20"/>
          <w:szCs w:val="20"/>
          <w:vertAlign w:val="superscript"/>
        </w:rPr>
        <w:t>-1</w:t>
      </w:r>
      <w:r w:rsidRPr="00235E02">
        <w:rPr>
          <w:rFonts w:ascii="Times New Roman" w:hAnsi="Times New Roman"/>
          <w:sz w:val="20"/>
          <w:szCs w:val="20"/>
        </w:rPr>
        <w:t xml:space="preserve"> and 8.8 x 10</w:t>
      </w:r>
      <w:r w:rsidRPr="00235E02">
        <w:rPr>
          <w:rFonts w:ascii="Times New Roman" w:hAnsi="Times New Roman"/>
          <w:sz w:val="20"/>
          <w:szCs w:val="20"/>
          <w:vertAlign w:val="superscript"/>
        </w:rPr>
        <w:t xml:space="preserve">-12 </w:t>
      </w:r>
      <w:r w:rsidRPr="00235E02">
        <w:rPr>
          <w:rFonts w:ascii="Times New Roman" w:hAnsi="Times New Roman"/>
          <w:sz w:val="20"/>
          <w:szCs w:val="20"/>
        </w:rPr>
        <w:t>– 1.6 x 10</w:t>
      </w:r>
      <w:r w:rsidRPr="00235E02">
        <w:rPr>
          <w:rFonts w:ascii="Times New Roman" w:hAnsi="Times New Roman"/>
          <w:sz w:val="20"/>
          <w:szCs w:val="20"/>
          <w:vertAlign w:val="superscript"/>
        </w:rPr>
        <w:t xml:space="preserve">-10 </w:t>
      </w:r>
      <w:r w:rsidRPr="00235E02">
        <w:rPr>
          <w:rFonts w:ascii="Times New Roman" w:hAnsi="Times New Roman"/>
          <w:sz w:val="20"/>
          <w:szCs w:val="20"/>
        </w:rPr>
        <w:t>mg kg</w:t>
      </w:r>
      <w:r w:rsidRPr="00235E02">
        <w:rPr>
          <w:rFonts w:ascii="Times New Roman" w:hAnsi="Times New Roman"/>
          <w:sz w:val="20"/>
          <w:szCs w:val="20"/>
          <w:vertAlign w:val="superscript"/>
        </w:rPr>
        <w:t xml:space="preserve">-1 </w:t>
      </w:r>
      <w:r w:rsidRPr="00235E02">
        <w:rPr>
          <w:rFonts w:ascii="Times New Roman" w:hAnsi="Times New Roman"/>
          <w:sz w:val="20"/>
          <w:szCs w:val="20"/>
        </w:rPr>
        <w:t>d</w:t>
      </w:r>
      <w:r w:rsidRPr="00235E02">
        <w:rPr>
          <w:rFonts w:ascii="Times New Roman" w:hAnsi="Times New Roman"/>
          <w:sz w:val="20"/>
          <w:szCs w:val="20"/>
          <w:vertAlign w:val="superscript"/>
        </w:rPr>
        <w:t>-1</w:t>
      </w:r>
      <w:r w:rsidRPr="00235E02">
        <w:rPr>
          <w:rFonts w:ascii="Times New Roman" w:hAnsi="Times New Roman"/>
          <w:sz w:val="20"/>
          <w:szCs w:val="20"/>
        </w:rPr>
        <w:t xml:space="preserve">. The hazard quotient (HQ) was </w:t>
      </w:r>
      <w:r w:rsidRPr="00235E02">
        <w:rPr>
          <w:rFonts w:ascii="Times New Roman" w:hAnsi="Times New Roman"/>
          <w:sz w:val="20"/>
          <w:szCs w:val="20"/>
        </w:rPr>
        <w:sym w:font="Symbol" w:char="F0A3"/>
      </w:r>
      <w:r w:rsidRPr="00235E02">
        <w:rPr>
          <w:rFonts w:ascii="Times New Roman" w:hAnsi="Times New Roman"/>
          <w:sz w:val="20"/>
          <w:szCs w:val="20"/>
        </w:rPr>
        <w:t xml:space="preserve"> 1 indicating less health risks for humans.</w:t>
      </w:r>
      <w:r w:rsidRPr="00235E02">
        <w:rPr>
          <w:rFonts w:ascii="Times New Roman" w:hAnsi="Times New Roman"/>
          <w:color w:val="222222"/>
          <w:sz w:val="20"/>
          <w:szCs w:val="20"/>
          <w:shd w:val="clear" w:color="auto" w:fill="FFFFFF"/>
        </w:rPr>
        <w:t xml:space="preserve"> Principal Component Analysis (PCA) indicates a strong correlation of high pesticides residual concentration of the soil of crops (cauliflower, cabbage and broccoli) with soil properties (pH and organic content) thus influencing its mobility and persistence whereas for other crops soil the decrease residual concentration might be related to crop type, rotation, roots exude, rhizosphere effect, or a rapid disappearance of pesticides after application.</w:t>
      </w:r>
    </w:p>
    <w:p w:rsidR="00235E02" w:rsidRPr="00235E02" w:rsidRDefault="00235E02" w:rsidP="0052471D">
      <w:pPr>
        <w:spacing w:after="0" w:line="240" w:lineRule="auto"/>
        <w:ind w:right="-8"/>
        <w:jc w:val="both"/>
        <w:rPr>
          <w:rFonts w:ascii="Times New Roman" w:hAnsi="Times New Roman"/>
          <w:color w:val="222222"/>
          <w:sz w:val="20"/>
          <w:szCs w:val="20"/>
          <w:shd w:val="clear" w:color="auto" w:fill="FFFFFF"/>
        </w:rPr>
      </w:pPr>
    </w:p>
    <w:p w:rsidR="00235E02" w:rsidRPr="00235E02" w:rsidRDefault="00235E02" w:rsidP="0052471D">
      <w:pPr>
        <w:spacing w:after="0" w:line="240" w:lineRule="auto"/>
        <w:ind w:right="-8"/>
        <w:jc w:val="both"/>
        <w:rPr>
          <w:rFonts w:ascii="Times New Roman" w:hAnsi="Times New Roman"/>
          <w:sz w:val="20"/>
          <w:szCs w:val="20"/>
        </w:rPr>
      </w:pPr>
      <w:r w:rsidRPr="00235E02">
        <w:rPr>
          <w:rFonts w:ascii="Times New Roman" w:hAnsi="Times New Roman"/>
          <w:b/>
          <w:sz w:val="20"/>
          <w:szCs w:val="20"/>
          <w:lang w:val="en-GB"/>
        </w:rPr>
        <w:t>Keywords:</w:t>
      </w:r>
      <w:r w:rsidRPr="00235E02">
        <w:rPr>
          <w:rFonts w:ascii="Times New Roman" w:hAnsi="Times New Roman"/>
          <w:sz w:val="20"/>
          <w:szCs w:val="20"/>
        </w:rPr>
        <w:t xml:space="preserve">  organochlorine, organophosphorus, pyrethroids, gas chromatography, multivariate analysis</w:t>
      </w:r>
    </w:p>
    <w:p w:rsidR="00235E02" w:rsidRPr="00235E02" w:rsidRDefault="00235E02" w:rsidP="00235E02">
      <w:pPr>
        <w:spacing w:after="0"/>
        <w:ind w:right="-8"/>
        <w:jc w:val="both"/>
        <w:rPr>
          <w:rFonts w:ascii="Times New Roman" w:hAnsi="Times New Roman"/>
          <w:sz w:val="20"/>
          <w:szCs w:val="20"/>
        </w:rPr>
      </w:pPr>
    </w:p>
    <w:p w:rsidR="00235E02" w:rsidRPr="00235E02" w:rsidRDefault="00235E02" w:rsidP="00235E02">
      <w:pPr>
        <w:spacing w:after="0"/>
        <w:ind w:right="-8"/>
        <w:jc w:val="center"/>
        <w:rPr>
          <w:rFonts w:ascii="Times New Roman" w:hAnsi="Times New Roman"/>
          <w:noProof/>
          <w:sz w:val="20"/>
          <w:szCs w:val="20"/>
          <w:lang w:val="ms-MY"/>
        </w:rPr>
      </w:pPr>
      <w:r w:rsidRPr="00235E02">
        <w:rPr>
          <w:rFonts w:ascii="Times New Roman" w:hAnsi="Times New Roman"/>
          <w:b/>
          <w:noProof/>
          <w:sz w:val="20"/>
          <w:szCs w:val="20"/>
          <w:lang w:val="ms-MY"/>
        </w:rPr>
        <w:t>Abstrak</w:t>
      </w:r>
    </w:p>
    <w:p w:rsidR="00235E02" w:rsidRPr="00235E02" w:rsidRDefault="00235E02" w:rsidP="00235E02">
      <w:pPr>
        <w:spacing w:after="0" w:line="240" w:lineRule="auto"/>
        <w:ind w:right="-14"/>
        <w:jc w:val="both"/>
        <w:rPr>
          <w:rFonts w:ascii="Times New Roman" w:hAnsi="Times New Roman"/>
          <w:noProof/>
          <w:sz w:val="20"/>
          <w:szCs w:val="20"/>
          <w:lang w:val="ms-MY"/>
        </w:rPr>
      </w:pPr>
      <w:r w:rsidRPr="00235E02">
        <w:rPr>
          <w:rFonts w:ascii="Times New Roman" w:hAnsi="Times New Roman"/>
          <w:noProof/>
          <w:sz w:val="20"/>
          <w:szCs w:val="20"/>
          <w:lang w:val="ms-MY"/>
        </w:rPr>
        <w:t xml:space="preserve">Pencemaran tanah merupakan salah satu daripada isu yang sensitif dalam kawasan pertanian di Cameron Highlands, Malaysia, di mana ianya merupakan kawasan pengeluar sayur yang terbesar di Malaysia. Kepekatan racun serangga organoklorin (OCPs), organofosforus (OPPs) dan piretroid (PYRs) telah diukur dalam 35 sampel tanah dari tanaman yang terpilih. Berikut merupakan tertib kepekatan OCPs dalam tanah dari tanaman kubis bunga &gt; kubis &gt; brokoli &gt; salad &gt; sederi &gt; bayam &gt; sawi, manakala untuk OPPs adalah </w:t>
      </w:r>
      <w:r w:rsidRPr="00235E02">
        <w:rPr>
          <w:rFonts w:ascii="Times New Roman" w:hAnsi="Times New Roman"/>
          <w:noProof/>
          <w:color w:val="222222"/>
          <w:sz w:val="20"/>
          <w:szCs w:val="20"/>
          <w:shd w:val="clear" w:color="auto" w:fill="FFFFFF"/>
          <w:lang w:val="ms-MY"/>
        </w:rPr>
        <w:t xml:space="preserve">bayam &gt; brokoli &gt; kubis &gt; kubis bunga &gt; saderi &gt; salad &gt; sawi dan untuk PYRs adalah brokoli &gt; kubis &gt; kubis bunga &gt; bayam &gt; sawi &gt; saderi &gt; </w:t>
      </w:r>
      <w:r w:rsidRPr="00235E02">
        <w:rPr>
          <w:rFonts w:ascii="Times New Roman" w:hAnsi="Times New Roman"/>
          <w:noProof/>
          <w:color w:val="222222"/>
          <w:sz w:val="20"/>
          <w:szCs w:val="20"/>
          <w:shd w:val="clear" w:color="auto" w:fill="FFFFFF"/>
          <w:lang w:val="ms-MY"/>
        </w:rPr>
        <w:lastRenderedPageBreak/>
        <w:t xml:space="preserve">salad. Bagi penilaian risiko purata jangka hayat dos harian (LADD) untuk </w:t>
      </w:r>
      <w:r w:rsidRPr="00235E02">
        <w:rPr>
          <w:rFonts w:ascii="Times New Roman" w:hAnsi="Times New Roman"/>
          <w:noProof/>
          <w:sz w:val="20"/>
          <w:szCs w:val="20"/>
          <w:lang w:val="ms-MY"/>
        </w:rPr>
        <w:sym w:font="Symbol" w:char="F053"/>
      </w:r>
      <w:r w:rsidRPr="00235E02">
        <w:rPr>
          <w:rFonts w:ascii="Times New Roman" w:hAnsi="Times New Roman"/>
          <w:noProof/>
          <w:color w:val="222222"/>
          <w:sz w:val="20"/>
          <w:szCs w:val="20"/>
          <w:shd w:val="clear" w:color="auto" w:fill="FFFFFF"/>
          <w:lang w:val="ms-MY"/>
        </w:rPr>
        <w:t xml:space="preserve">OCPs, </w:t>
      </w:r>
      <w:r w:rsidRPr="00235E02">
        <w:rPr>
          <w:rFonts w:ascii="Times New Roman" w:hAnsi="Times New Roman"/>
          <w:noProof/>
          <w:sz w:val="20"/>
          <w:szCs w:val="20"/>
          <w:lang w:val="ms-MY"/>
        </w:rPr>
        <w:sym w:font="Symbol" w:char="F053"/>
      </w:r>
      <w:r w:rsidRPr="00235E02">
        <w:rPr>
          <w:rFonts w:ascii="Times New Roman" w:hAnsi="Times New Roman"/>
          <w:noProof/>
          <w:sz w:val="20"/>
          <w:szCs w:val="20"/>
          <w:lang w:val="ms-MY"/>
        </w:rPr>
        <w:t xml:space="preserve">OPPs dan </w:t>
      </w:r>
      <w:r w:rsidRPr="00235E02">
        <w:rPr>
          <w:rFonts w:ascii="Times New Roman" w:hAnsi="Times New Roman"/>
          <w:noProof/>
          <w:sz w:val="20"/>
          <w:szCs w:val="20"/>
          <w:lang w:val="ms-MY"/>
        </w:rPr>
        <w:sym w:font="Symbol" w:char="F053"/>
      </w:r>
      <w:r w:rsidRPr="00235E02">
        <w:rPr>
          <w:rFonts w:ascii="Times New Roman" w:hAnsi="Times New Roman"/>
          <w:noProof/>
          <w:sz w:val="20"/>
          <w:szCs w:val="20"/>
          <w:lang w:val="ms-MY"/>
        </w:rPr>
        <w:t xml:space="preserve">PYRs untuk dewasa adalah </w:t>
      </w:r>
      <w:r w:rsidRPr="00235E02">
        <w:rPr>
          <w:rFonts w:ascii="Times New Roman" w:hAnsi="Times New Roman"/>
          <w:noProof/>
          <w:color w:val="222222"/>
          <w:sz w:val="20"/>
          <w:szCs w:val="20"/>
          <w:shd w:val="clear" w:color="auto" w:fill="FFFFFF"/>
          <w:lang w:val="ms-MY"/>
        </w:rPr>
        <w:t>2.1 x 10</w:t>
      </w:r>
      <w:r w:rsidRPr="00235E02">
        <w:rPr>
          <w:rFonts w:ascii="Times New Roman" w:hAnsi="Times New Roman"/>
          <w:noProof/>
          <w:color w:val="222222"/>
          <w:sz w:val="20"/>
          <w:szCs w:val="20"/>
          <w:shd w:val="clear" w:color="auto" w:fill="FFFFFF"/>
          <w:vertAlign w:val="superscript"/>
          <w:lang w:val="ms-MY"/>
        </w:rPr>
        <w:t xml:space="preserve">-7 </w:t>
      </w:r>
      <w:r w:rsidRPr="00235E02">
        <w:rPr>
          <w:rFonts w:ascii="Times New Roman" w:hAnsi="Times New Roman"/>
          <w:noProof/>
          <w:color w:val="222222"/>
          <w:sz w:val="20"/>
          <w:szCs w:val="20"/>
          <w:shd w:val="clear" w:color="auto" w:fill="FFFFFF"/>
          <w:lang w:val="ms-MY"/>
        </w:rPr>
        <w:t>– 1 x 10</w:t>
      </w:r>
      <w:r w:rsidRPr="00235E02">
        <w:rPr>
          <w:rFonts w:ascii="Times New Roman" w:hAnsi="Times New Roman"/>
          <w:noProof/>
          <w:color w:val="222222"/>
          <w:sz w:val="20"/>
          <w:szCs w:val="20"/>
          <w:shd w:val="clear" w:color="auto" w:fill="FFFFFF"/>
          <w:vertAlign w:val="superscript"/>
          <w:lang w:val="ms-MY"/>
        </w:rPr>
        <w:t xml:space="preserve">-6 </w:t>
      </w:r>
      <w:r w:rsidRPr="00235E02">
        <w:rPr>
          <w:rFonts w:ascii="Times New Roman" w:hAnsi="Times New Roman"/>
          <w:noProof/>
          <w:sz w:val="20"/>
          <w:szCs w:val="20"/>
          <w:lang w:val="ms-MY"/>
        </w:rPr>
        <w:t>mg kg</w:t>
      </w:r>
      <w:r w:rsidRPr="00235E02">
        <w:rPr>
          <w:rFonts w:ascii="Times New Roman" w:hAnsi="Times New Roman"/>
          <w:noProof/>
          <w:sz w:val="20"/>
          <w:szCs w:val="20"/>
          <w:vertAlign w:val="superscript"/>
          <w:lang w:val="ms-MY"/>
        </w:rPr>
        <w:t xml:space="preserve">-1 </w:t>
      </w:r>
      <w:r w:rsidRPr="00235E02">
        <w:rPr>
          <w:rFonts w:ascii="Times New Roman" w:hAnsi="Times New Roman"/>
          <w:noProof/>
          <w:sz w:val="20"/>
          <w:szCs w:val="20"/>
          <w:lang w:val="ms-MY"/>
        </w:rPr>
        <w:t>d</w:t>
      </w:r>
      <w:r w:rsidRPr="00235E02">
        <w:rPr>
          <w:rFonts w:ascii="Times New Roman" w:hAnsi="Times New Roman"/>
          <w:noProof/>
          <w:sz w:val="20"/>
          <w:szCs w:val="20"/>
          <w:vertAlign w:val="superscript"/>
          <w:lang w:val="ms-MY"/>
        </w:rPr>
        <w:t>-1</w:t>
      </w:r>
      <w:r w:rsidRPr="00235E02">
        <w:rPr>
          <w:rFonts w:ascii="Times New Roman" w:hAnsi="Times New Roman"/>
          <w:noProof/>
          <w:sz w:val="20"/>
          <w:szCs w:val="20"/>
          <w:lang w:val="ms-MY"/>
        </w:rPr>
        <w:t xml:space="preserve">, </w:t>
      </w:r>
      <w:r w:rsidRPr="00235E02">
        <w:rPr>
          <w:rFonts w:ascii="Times New Roman" w:hAnsi="Times New Roman"/>
          <w:noProof/>
          <w:color w:val="222222"/>
          <w:sz w:val="20"/>
          <w:szCs w:val="20"/>
          <w:shd w:val="clear" w:color="auto" w:fill="FFFFFF"/>
          <w:lang w:val="ms-MY"/>
        </w:rPr>
        <w:t>1.46 x   10</w:t>
      </w:r>
      <w:r w:rsidRPr="00235E02">
        <w:rPr>
          <w:rFonts w:ascii="Times New Roman" w:hAnsi="Times New Roman"/>
          <w:noProof/>
          <w:color w:val="222222"/>
          <w:sz w:val="20"/>
          <w:szCs w:val="20"/>
          <w:shd w:val="clear" w:color="auto" w:fill="FFFFFF"/>
          <w:vertAlign w:val="superscript"/>
          <w:lang w:val="ms-MY"/>
        </w:rPr>
        <w:t xml:space="preserve">-11 </w:t>
      </w:r>
      <w:r w:rsidRPr="00235E02">
        <w:rPr>
          <w:rFonts w:ascii="Times New Roman" w:hAnsi="Times New Roman"/>
          <w:noProof/>
          <w:color w:val="222222"/>
          <w:sz w:val="20"/>
          <w:szCs w:val="20"/>
          <w:shd w:val="clear" w:color="auto" w:fill="FFFFFF"/>
          <w:lang w:val="ms-MY"/>
        </w:rPr>
        <w:t>– 3.6 x 10</w:t>
      </w:r>
      <w:r w:rsidRPr="00235E02">
        <w:rPr>
          <w:rFonts w:ascii="Times New Roman" w:hAnsi="Times New Roman"/>
          <w:noProof/>
          <w:color w:val="222222"/>
          <w:sz w:val="20"/>
          <w:szCs w:val="20"/>
          <w:shd w:val="clear" w:color="auto" w:fill="FFFFFF"/>
          <w:vertAlign w:val="superscript"/>
          <w:lang w:val="ms-MY"/>
        </w:rPr>
        <w:t xml:space="preserve">-10 </w:t>
      </w:r>
      <w:r w:rsidRPr="00235E02">
        <w:rPr>
          <w:rFonts w:ascii="Times New Roman" w:hAnsi="Times New Roman"/>
          <w:noProof/>
          <w:sz w:val="20"/>
          <w:szCs w:val="20"/>
          <w:lang w:val="ms-MY"/>
        </w:rPr>
        <w:t>mg kg</w:t>
      </w:r>
      <w:r w:rsidRPr="00235E02">
        <w:rPr>
          <w:rFonts w:ascii="Times New Roman" w:hAnsi="Times New Roman"/>
          <w:noProof/>
          <w:sz w:val="20"/>
          <w:szCs w:val="20"/>
          <w:vertAlign w:val="superscript"/>
          <w:lang w:val="ms-MY"/>
        </w:rPr>
        <w:t xml:space="preserve">-1 </w:t>
      </w:r>
      <w:r w:rsidRPr="00235E02">
        <w:rPr>
          <w:rFonts w:ascii="Times New Roman" w:hAnsi="Times New Roman"/>
          <w:noProof/>
          <w:sz w:val="20"/>
          <w:szCs w:val="20"/>
          <w:lang w:val="ms-MY"/>
        </w:rPr>
        <w:t>d</w:t>
      </w:r>
      <w:r w:rsidRPr="00235E02">
        <w:rPr>
          <w:rFonts w:ascii="Times New Roman" w:hAnsi="Times New Roman"/>
          <w:noProof/>
          <w:sz w:val="20"/>
          <w:szCs w:val="20"/>
          <w:vertAlign w:val="superscript"/>
          <w:lang w:val="ms-MY"/>
        </w:rPr>
        <w:t>-1</w:t>
      </w:r>
      <w:r w:rsidRPr="00235E02">
        <w:rPr>
          <w:rFonts w:ascii="Times New Roman" w:hAnsi="Times New Roman"/>
          <w:noProof/>
          <w:color w:val="222222"/>
          <w:sz w:val="20"/>
          <w:szCs w:val="20"/>
          <w:shd w:val="clear" w:color="auto" w:fill="FFFFFF"/>
          <w:lang w:val="ms-MY"/>
        </w:rPr>
        <w:t xml:space="preserve"> dan </w:t>
      </w:r>
      <w:r w:rsidRPr="00235E02">
        <w:rPr>
          <w:rFonts w:ascii="Times New Roman" w:hAnsi="Times New Roman"/>
          <w:noProof/>
          <w:sz w:val="20"/>
          <w:szCs w:val="20"/>
          <w:lang w:val="ms-MY"/>
        </w:rPr>
        <w:t>1.28 x 10</w:t>
      </w:r>
      <w:r w:rsidRPr="00235E02">
        <w:rPr>
          <w:rFonts w:ascii="Times New Roman" w:hAnsi="Times New Roman"/>
          <w:noProof/>
          <w:sz w:val="20"/>
          <w:szCs w:val="20"/>
          <w:vertAlign w:val="superscript"/>
          <w:lang w:val="ms-MY"/>
        </w:rPr>
        <w:t xml:space="preserve">-12 </w:t>
      </w:r>
      <w:r w:rsidRPr="00235E02">
        <w:rPr>
          <w:rFonts w:ascii="Times New Roman" w:hAnsi="Times New Roman"/>
          <w:noProof/>
          <w:sz w:val="20"/>
          <w:szCs w:val="20"/>
          <w:lang w:val="ms-MY"/>
        </w:rPr>
        <w:t>– 3.42 x 10</w:t>
      </w:r>
      <w:r w:rsidRPr="00235E02">
        <w:rPr>
          <w:rFonts w:ascii="Times New Roman" w:hAnsi="Times New Roman"/>
          <w:noProof/>
          <w:sz w:val="20"/>
          <w:szCs w:val="20"/>
          <w:vertAlign w:val="superscript"/>
          <w:lang w:val="ms-MY"/>
        </w:rPr>
        <w:t xml:space="preserve">-12 </w:t>
      </w:r>
      <w:r w:rsidRPr="00235E02">
        <w:rPr>
          <w:rFonts w:ascii="Times New Roman" w:hAnsi="Times New Roman"/>
          <w:noProof/>
          <w:sz w:val="20"/>
          <w:szCs w:val="20"/>
          <w:lang w:val="ms-MY"/>
        </w:rPr>
        <w:t>mg kg</w:t>
      </w:r>
      <w:r w:rsidRPr="00235E02">
        <w:rPr>
          <w:rFonts w:ascii="Times New Roman" w:hAnsi="Times New Roman"/>
          <w:noProof/>
          <w:sz w:val="20"/>
          <w:szCs w:val="20"/>
          <w:vertAlign w:val="superscript"/>
          <w:lang w:val="ms-MY"/>
        </w:rPr>
        <w:t xml:space="preserve">-1 </w:t>
      </w:r>
      <w:r w:rsidRPr="00235E02">
        <w:rPr>
          <w:rFonts w:ascii="Times New Roman" w:hAnsi="Times New Roman"/>
          <w:noProof/>
          <w:sz w:val="20"/>
          <w:szCs w:val="20"/>
          <w:lang w:val="ms-MY"/>
        </w:rPr>
        <w:t>d</w:t>
      </w:r>
      <w:r w:rsidRPr="00235E02">
        <w:rPr>
          <w:rFonts w:ascii="Times New Roman" w:hAnsi="Times New Roman"/>
          <w:noProof/>
          <w:sz w:val="20"/>
          <w:szCs w:val="20"/>
          <w:vertAlign w:val="superscript"/>
          <w:lang w:val="ms-MY"/>
        </w:rPr>
        <w:t>-1</w:t>
      </w:r>
      <w:r w:rsidRPr="00235E02">
        <w:rPr>
          <w:rFonts w:ascii="Times New Roman" w:hAnsi="Times New Roman"/>
          <w:noProof/>
          <w:sz w:val="20"/>
          <w:szCs w:val="20"/>
          <w:lang w:val="ms-MY"/>
        </w:rPr>
        <w:t xml:space="preserve">, manakala kanak – kanak  </w:t>
      </w:r>
      <w:r w:rsidRPr="00235E02">
        <w:rPr>
          <w:rFonts w:ascii="Times New Roman" w:hAnsi="Times New Roman"/>
          <w:noProof/>
          <w:color w:val="222222"/>
          <w:sz w:val="20"/>
          <w:szCs w:val="20"/>
          <w:shd w:val="clear" w:color="auto" w:fill="FFFFFF"/>
          <w:lang w:val="ms-MY"/>
        </w:rPr>
        <w:t>5.3 x 10</w:t>
      </w:r>
      <w:r w:rsidRPr="00235E02">
        <w:rPr>
          <w:rFonts w:ascii="Times New Roman" w:hAnsi="Times New Roman"/>
          <w:noProof/>
          <w:color w:val="222222"/>
          <w:sz w:val="20"/>
          <w:szCs w:val="20"/>
          <w:shd w:val="clear" w:color="auto" w:fill="FFFFFF"/>
          <w:vertAlign w:val="superscript"/>
          <w:lang w:val="ms-MY"/>
        </w:rPr>
        <w:t xml:space="preserve">-8 </w:t>
      </w:r>
      <w:r w:rsidRPr="00235E02">
        <w:rPr>
          <w:rFonts w:ascii="Times New Roman" w:hAnsi="Times New Roman"/>
          <w:noProof/>
          <w:color w:val="222222"/>
          <w:sz w:val="20"/>
          <w:szCs w:val="20"/>
          <w:shd w:val="clear" w:color="auto" w:fill="FFFFFF"/>
          <w:lang w:val="ms-MY"/>
        </w:rPr>
        <w:t>– 2.7 x 10</w:t>
      </w:r>
      <w:r w:rsidRPr="00235E02">
        <w:rPr>
          <w:rFonts w:ascii="Times New Roman" w:hAnsi="Times New Roman"/>
          <w:noProof/>
          <w:color w:val="222222"/>
          <w:sz w:val="20"/>
          <w:szCs w:val="20"/>
          <w:shd w:val="clear" w:color="auto" w:fill="FFFFFF"/>
          <w:vertAlign w:val="superscript"/>
          <w:lang w:val="ms-MY"/>
        </w:rPr>
        <w:t xml:space="preserve">-7 </w:t>
      </w:r>
      <w:r w:rsidRPr="00235E02">
        <w:rPr>
          <w:rFonts w:ascii="Times New Roman" w:hAnsi="Times New Roman"/>
          <w:noProof/>
          <w:sz w:val="20"/>
          <w:szCs w:val="20"/>
          <w:lang w:val="ms-MY"/>
        </w:rPr>
        <w:t>mg kg</w:t>
      </w:r>
      <w:r w:rsidRPr="00235E02">
        <w:rPr>
          <w:rFonts w:ascii="Times New Roman" w:hAnsi="Times New Roman"/>
          <w:noProof/>
          <w:sz w:val="20"/>
          <w:szCs w:val="20"/>
          <w:vertAlign w:val="superscript"/>
          <w:lang w:val="ms-MY"/>
        </w:rPr>
        <w:t xml:space="preserve">-1 </w:t>
      </w:r>
      <w:r w:rsidRPr="00235E02">
        <w:rPr>
          <w:rFonts w:ascii="Times New Roman" w:hAnsi="Times New Roman"/>
          <w:noProof/>
          <w:sz w:val="20"/>
          <w:szCs w:val="20"/>
          <w:lang w:val="ms-MY"/>
        </w:rPr>
        <w:t>d</w:t>
      </w:r>
      <w:r w:rsidRPr="00235E02">
        <w:rPr>
          <w:rFonts w:ascii="Times New Roman" w:hAnsi="Times New Roman"/>
          <w:noProof/>
          <w:sz w:val="20"/>
          <w:szCs w:val="20"/>
          <w:vertAlign w:val="superscript"/>
          <w:lang w:val="ms-MY"/>
        </w:rPr>
        <w:t>-1</w:t>
      </w:r>
      <w:r w:rsidRPr="00235E02">
        <w:rPr>
          <w:rFonts w:ascii="Times New Roman" w:hAnsi="Times New Roman"/>
          <w:noProof/>
          <w:sz w:val="20"/>
          <w:szCs w:val="20"/>
          <w:lang w:val="ms-MY"/>
        </w:rPr>
        <w:t>,</w:t>
      </w:r>
      <w:r w:rsidRPr="00235E02">
        <w:rPr>
          <w:rFonts w:ascii="Times New Roman" w:hAnsi="Times New Roman"/>
          <w:noProof/>
          <w:sz w:val="20"/>
          <w:szCs w:val="20"/>
          <w:vertAlign w:val="superscript"/>
          <w:lang w:val="ms-MY"/>
        </w:rPr>
        <w:t xml:space="preserve">  </w:t>
      </w:r>
      <w:r w:rsidRPr="00235E02">
        <w:rPr>
          <w:rFonts w:ascii="Times New Roman" w:hAnsi="Times New Roman"/>
          <w:noProof/>
          <w:sz w:val="20"/>
          <w:szCs w:val="20"/>
          <w:lang w:val="ms-MY"/>
        </w:rPr>
        <w:t>3.8 x 10</w:t>
      </w:r>
      <w:r w:rsidRPr="00235E02">
        <w:rPr>
          <w:rFonts w:ascii="Times New Roman" w:hAnsi="Times New Roman"/>
          <w:noProof/>
          <w:sz w:val="20"/>
          <w:szCs w:val="20"/>
          <w:vertAlign w:val="superscript"/>
          <w:lang w:val="ms-MY"/>
        </w:rPr>
        <w:t xml:space="preserve">-11 </w:t>
      </w:r>
      <w:r w:rsidRPr="00235E02">
        <w:rPr>
          <w:rFonts w:ascii="Times New Roman" w:hAnsi="Times New Roman"/>
          <w:noProof/>
          <w:sz w:val="20"/>
          <w:szCs w:val="20"/>
          <w:lang w:val="ms-MY"/>
        </w:rPr>
        <w:t>– 9.4 x 10</w:t>
      </w:r>
      <w:r w:rsidRPr="00235E02">
        <w:rPr>
          <w:rFonts w:ascii="Times New Roman" w:hAnsi="Times New Roman"/>
          <w:noProof/>
          <w:sz w:val="20"/>
          <w:szCs w:val="20"/>
          <w:vertAlign w:val="superscript"/>
          <w:lang w:val="ms-MY"/>
        </w:rPr>
        <w:t xml:space="preserve">-10 </w:t>
      </w:r>
      <w:r w:rsidRPr="00235E02">
        <w:rPr>
          <w:rFonts w:ascii="Times New Roman" w:hAnsi="Times New Roman"/>
          <w:noProof/>
          <w:sz w:val="20"/>
          <w:szCs w:val="20"/>
          <w:lang w:val="ms-MY"/>
        </w:rPr>
        <w:t>mg kg</w:t>
      </w:r>
      <w:r w:rsidRPr="00235E02">
        <w:rPr>
          <w:rFonts w:ascii="Times New Roman" w:hAnsi="Times New Roman"/>
          <w:noProof/>
          <w:sz w:val="20"/>
          <w:szCs w:val="20"/>
          <w:vertAlign w:val="superscript"/>
          <w:lang w:val="ms-MY"/>
        </w:rPr>
        <w:t xml:space="preserve">-1 </w:t>
      </w:r>
      <w:r w:rsidRPr="00235E02">
        <w:rPr>
          <w:rFonts w:ascii="Times New Roman" w:hAnsi="Times New Roman"/>
          <w:noProof/>
          <w:sz w:val="20"/>
          <w:szCs w:val="20"/>
          <w:lang w:val="ms-MY"/>
        </w:rPr>
        <w:t>d</w:t>
      </w:r>
      <w:r w:rsidRPr="00235E02">
        <w:rPr>
          <w:rFonts w:ascii="Times New Roman" w:hAnsi="Times New Roman"/>
          <w:noProof/>
          <w:sz w:val="20"/>
          <w:szCs w:val="20"/>
          <w:vertAlign w:val="superscript"/>
          <w:lang w:val="ms-MY"/>
        </w:rPr>
        <w:t>-1</w:t>
      </w:r>
      <w:r w:rsidRPr="00235E02">
        <w:rPr>
          <w:rFonts w:ascii="Times New Roman" w:hAnsi="Times New Roman"/>
          <w:noProof/>
          <w:sz w:val="20"/>
          <w:szCs w:val="20"/>
          <w:lang w:val="ms-MY"/>
        </w:rPr>
        <w:t xml:space="preserve">  dan  8.8 x 10</w:t>
      </w:r>
      <w:r w:rsidRPr="00235E02">
        <w:rPr>
          <w:rFonts w:ascii="Times New Roman" w:hAnsi="Times New Roman"/>
          <w:noProof/>
          <w:sz w:val="20"/>
          <w:szCs w:val="20"/>
          <w:vertAlign w:val="superscript"/>
          <w:lang w:val="ms-MY"/>
        </w:rPr>
        <w:t xml:space="preserve">-12 </w:t>
      </w:r>
      <w:r w:rsidRPr="00235E02">
        <w:rPr>
          <w:rFonts w:ascii="Times New Roman" w:hAnsi="Times New Roman"/>
          <w:noProof/>
          <w:sz w:val="20"/>
          <w:szCs w:val="20"/>
          <w:lang w:val="ms-MY"/>
        </w:rPr>
        <w:t>– 1.6 x 10</w:t>
      </w:r>
      <w:r w:rsidRPr="00235E02">
        <w:rPr>
          <w:rFonts w:ascii="Times New Roman" w:hAnsi="Times New Roman"/>
          <w:noProof/>
          <w:sz w:val="20"/>
          <w:szCs w:val="20"/>
          <w:vertAlign w:val="superscript"/>
          <w:lang w:val="ms-MY"/>
        </w:rPr>
        <w:t xml:space="preserve">-10 </w:t>
      </w:r>
      <w:r w:rsidRPr="00235E02">
        <w:rPr>
          <w:rFonts w:ascii="Times New Roman" w:hAnsi="Times New Roman"/>
          <w:noProof/>
          <w:sz w:val="20"/>
          <w:szCs w:val="20"/>
          <w:lang w:val="ms-MY"/>
        </w:rPr>
        <w:t>mg kg</w:t>
      </w:r>
      <w:r w:rsidRPr="00235E02">
        <w:rPr>
          <w:rFonts w:ascii="Times New Roman" w:hAnsi="Times New Roman"/>
          <w:noProof/>
          <w:sz w:val="20"/>
          <w:szCs w:val="20"/>
          <w:vertAlign w:val="superscript"/>
          <w:lang w:val="ms-MY"/>
        </w:rPr>
        <w:t xml:space="preserve">-1 </w:t>
      </w:r>
      <w:r w:rsidRPr="00235E02">
        <w:rPr>
          <w:rFonts w:ascii="Times New Roman" w:hAnsi="Times New Roman"/>
          <w:noProof/>
          <w:sz w:val="20"/>
          <w:szCs w:val="20"/>
          <w:lang w:val="ms-MY"/>
        </w:rPr>
        <w:t>d</w:t>
      </w:r>
      <w:r w:rsidRPr="00235E02">
        <w:rPr>
          <w:rFonts w:ascii="Times New Roman" w:hAnsi="Times New Roman"/>
          <w:noProof/>
          <w:sz w:val="20"/>
          <w:szCs w:val="20"/>
          <w:vertAlign w:val="superscript"/>
          <w:lang w:val="ms-MY"/>
        </w:rPr>
        <w:t>-1</w:t>
      </w:r>
      <w:r w:rsidRPr="00235E02">
        <w:rPr>
          <w:rFonts w:ascii="Times New Roman" w:hAnsi="Times New Roman"/>
          <w:noProof/>
          <w:sz w:val="20"/>
          <w:szCs w:val="20"/>
          <w:lang w:val="ms-MY"/>
        </w:rPr>
        <w:t xml:space="preserve">. Darjah bahaya (HQ) adalah </w:t>
      </w:r>
      <w:r w:rsidRPr="00235E02">
        <w:rPr>
          <w:rFonts w:ascii="Times New Roman" w:hAnsi="Times New Roman"/>
          <w:noProof/>
          <w:sz w:val="20"/>
          <w:szCs w:val="20"/>
          <w:lang w:val="ms-MY"/>
        </w:rPr>
        <w:sym w:font="Symbol" w:char="F0A3"/>
      </w:r>
      <w:r w:rsidRPr="00235E02">
        <w:rPr>
          <w:rFonts w:ascii="Times New Roman" w:hAnsi="Times New Roman"/>
          <w:noProof/>
          <w:sz w:val="20"/>
          <w:szCs w:val="20"/>
          <w:lang w:val="ms-MY"/>
        </w:rPr>
        <w:t xml:space="preserve"> 1 iaitu menjelaskan bahawa ianya kurang berisiko terhadap kesihatan manusia. Analisis komponen utama (PCA) menunjukkan terdapat korelasi yang kuat untuk kepekatan residu racun serangga yang tinggi daripada tanah untuk tanaman (kubis bunga, kubis, dan brokoli) dengan ciri – ciri tanah (pH dan kandungan organik) sekali gus mempengaruhi mobiliti dan pengekalannya manakala untuk tanah tanaman lain kepekatan residu berkurangan mungkin disebabkan oleh faktor yang berkaitan jenis tanaman, kitaran, rembesan akar – akar, kesan rezosfera, atau kehilangan racun yang cepat selepas penggunaannya.</w:t>
      </w:r>
    </w:p>
    <w:p w:rsidR="00235E02" w:rsidRPr="00235E02" w:rsidRDefault="00235E02" w:rsidP="00235E02">
      <w:pPr>
        <w:spacing w:after="0" w:line="240" w:lineRule="auto"/>
        <w:ind w:right="-14"/>
        <w:jc w:val="both"/>
        <w:rPr>
          <w:rFonts w:ascii="Times New Roman" w:hAnsi="Times New Roman"/>
          <w:noProof/>
          <w:sz w:val="20"/>
          <w:szCs w:val="20"/>
          <w:lang w:val="ms-MY"/>
        </w:rPr>
      </w:pPr>
    </w:p>
    <w:p w:rsidR="007A690F" w:rsidRDefault="00235E02" w:rsidP="00235E02">
      <w:pPr>
        <w:spacing w:after="0" w:line="240" w:lineRule="auto"/>
        <w:ind w:right="-14"/>
        <w:jc w:val="both"/>
        <w:rPr>
          <w:rFonts w:ascii="Times New Roman" w:hAnsi="Times New Roman"/>
          <w:noProof/>
          <w:sz w:val="20"/>
          <w:szCs w:val="20"/>
          <w:lang w:val="ms-MY"/>
        </w:rPr>
      </w:pPr>
      <w:r w:rsidRPr="00235E02">
        <w:rPr>
          <w:rFonts w:ascii="Times New Roman" w:hAnsi="Times New Roman"/>
          <w:b/>
          <w:noProof/>
          <w:sz w:val="20"/>
          <w:szCs w:val="20"/>
          <w:lang w:val="ms-MY"/>
        </w:rPr>
        <w:t>Kata kunci</w:t>
      </w:r>
      <w:r w:rsidRPr="00235E02">
        <w:rPr>
          <w:rFonts w:ascii="Times New Roman" w:hAnsi="Times New Roman"/>
          <w:noProof/>
          <w:sz w:val="20"/>
          <w:szCs w:val="20"/>
          <w:lang w:val="ms-MY"/>
        </w:rPr>
        <w:t>:  organoklorin, organofosforus, piretroid, kromatografi gas, analisis multivariat</w:t>
      </w:r>
    </w:p>
    <w:p w:rsidR="00235E02" w:rsidRDefault="00235E02" w:rsidP="00235E02">
      <w:pPr>
        <w:spacing w:after="0" w:line="240" w:lineRule="auto"/>
        <w:ind w:right="-14"/>
        <w:jc w:val="both"/>
        <w:rPr>
          <w:rFonts w:ascii="Times New Roman" w:hAnsi="Times New Roman"/>
          <w:noProof/>
          <w:sz w:val="20"/>
          <w:szCs w:val="20"/>
          <w:lang w:val="ms-MY"/>
        </w:rPr>
      </w:pPr>
    </w:p>
    <w:p w:rsidR="00235E02" w:rsidRPr="00F447A7" w:rsidRDefault="00235E02" w:rsidP="00235E02">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color w:val="222222"/>
          <w:sz w:val="20"/>
          <w:szCs w:val="20"/>
          <w:shd w:val="clear" w:color="auto" w:fill="FFFFFF"/>
        </w:rPr>
        <w:t>Gonçalves, C., Da Silva, J. C. E. and Alpendurada, M. F. (2006). Chemometric interpretation of pesticide occurrence in soil samples from an intensive horticulture area in North Portugal</w:t>
      </w:r>
      <w:r w:rsidRPr="0054226A">
        <w:rPr>
          <w:rFonts w:ascii="Times New Roman" w:hAnsi="Times New Roman"/>
          <w:i/>
          <w:color w:val="222222"/>
          <w:sz w:val="20"/>
          <w:szCs w:val="20"/>
          <w:shd w:val="clear" w:color="auto" w:fill="FFFFFF"/>
        </w:rPr>
        <w:t>.</w:t>
      </w:r>
      <w:r w:rsidRPr="0054226A">
        <w:rPr>
          <w:rFonts w:ascii="Times New Roman" w:hAnsi="Times New Roman"/>
          <w:i/>
          <w:color w:val="222222"/>
          <w:sz w:val="20"/>
          <w:szCs w:val="20"/>
        </w:rPr>
        <w:t> </w:t>
      </w:r>
      <w:r w:rsidRPr="0054226A">
        <w:rPr>
          <w:rFonts w:ascii="Times New Roman" w:hAnsi="Times New Roman"/>
          <w:i/>
          <w:color w:val="222222"/>
          <w:sz w:val="20"/>
          <w:szCs w:val="20"/>
          <w:shd w:val="clear" w:color="auto" w:fill="FFFFFF"/>
        </w:rPr>
        <w:t>Analytica Chimica Acta</w:t>
      </w:r>
      <w:r w:rsidRPr="0054226A">
        <w:rPr>
          <w:rFonts w:ascii="Times New Roman" w:hAnsi="Times New Roman"/>
          <w:color w:val="222222"/>
          <w:sz w:val="20"/>
          <w:szCs w:val="20"/>
        </w:rPr>
        <w:t xml:space="preserve">, </w:t>
      </w:r>
      <w:r w:rsidRPr="0054226A">
        <w:rPr>
          <w:rFonts w:ascii="Times New Roman" w:hAnsi="Times New Roman"/>
          <w:color w:val="222222"/>
          <w:sz w:val="20"/>
          <w:szCs w:val="20"/>
          <w:shd w:val="clear" w:color="auto" w:fill="FFFFFF"/>
        </w:rPr>
        <w:t>560: 164 – 171.</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color w:val="222222"/>
          <w:sz w:val="20"/>
          <w:szCs w:val="20"/>
          <w:shd w:val="clear" w:color="auto" w:fill="FFFFFF"/>
        </w:rPr>
        <w:t xml:space="preserve">Mishra, K., Sharma, R. C. and Kumar, S. (2012). Contamination levels and spatial distribution of organochlorine pesticides in soils from India. </w:t>
      </w:r>
      <w:r w:rsidRPr="0054226A">
        <w:rPr>
          <w:rFonts w:ascii="Times New Roman" w:hAnsi="Times New Roman"/>
          <w:i/>
          <w:color w:val="222222"/>
          <w:sz w:val="20"/>
          <w:szCs w:val="20"/>
          <w:shd w:val="clear" w:color="auto" w:fill="FFFFFF"/>
        </w:rPr>
        <w:t>Ecotoxicology Environment Safety</w:t>
      </w:r>
      <w:r w:rsidRPr="0054226A">
        <w:rPr>
          <w:rFonts w:ascii="Times New Roman" w:hAnsi="Times New Roman"/>
          <w:color w:val="222222"/>
          <w:sz w:val="20"/>
          <w:szCs w:val="20"/>
          <w:shd w:val="clear" w:color="auto" w:fill="FFFFFF"/>
        </w:rPr>
        <w:t>,</w:t>
      </w:r>
      <w:r w:rsidRPr="0054226A">
        <w:rPr>
          <w:rFonts w:ascii="Times New Roman" w:hAnsi="Times New Roman"/>
          <w:color w:val="222222"/>
          <w:sz w:val="20"/>
          <w:szCs w:val="20"/>
        </w:rPr>
        <w:t> </w:t>
      </w:r>
      <w:r w:rsidRPr="0054226A">
        <w:rPr>
          <w:rFonts w:ascii="Times New Roman" w:hAnsi="Times New Roman"/>
          <w:color w:val="222222"/>
          <w:sz w:val="20"/>
          <w:szCs w:val="20"/>
          <w:shd w:val="clear" w:color="auto" w:fill="FFFFFF"/>
        </w:rPr>
        <w:t>76: 215 – 225.</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color w:val="222222"/>
          <w:sz w:val="20"/>
          <w:szCs w:val="20"/>
          <w:shd w:val="clear" w:color="auto" w:fill="FFFFFF"/>
        </w:rPr>
        <w:t>Shi, R., Lv, J. and Feng, J. (2011). Assessment of pesticide pollution in suburban soil in South Shenyang, China.</w:t>
      </w:r>
      <w:r w:rsidRPr="0054226A">
        <w:rPr>
          <w:rFonts w:ascii="Times New Roman" w:hAnsi="Times New Roman"/>
          <w:color w:val="222222"/>
          <w:sz w:val="20"/>
          <w:szCs w:val="20"/>
        </w:rPr>
        <w:t> </w:t>
      </w:r>
      <w:r w:rsidRPr="0054226A">
        <w:rPr>
          <w:rStyle w:val="st"/>
          <w:rFonts w:ascii="Times New Roman" w:hAnsi="Times New Roman"/>
          <w:i/>
          <w:sz w:val="20"/>
          <w:szCs w:val="20"/>
        </w:rPr>
        <w:t>Bulletin of</w:t>
      </w:r>
      <w:r w:rsidRPr="0054226A">
        <w:rPr>
          <w:rStyle w:val="st"/>
          <w:rFonts w:ascii="Times New Roman" w:hAnsi="Times New Roman"/>
          <w:sz w:val="20"/>
          <w:szCs w:val="20"/>
        </w:rPr>
        <w:t xml:space="preserve"> </w:t>
      </w:r>
      <w:r w:rsidRPr="008C798C">
        <w:rPr>
          <w:rStyle w:val="Emphasis"/>
          <w:rFonts w:ascii="Times New Roman" w:hAnsi="Times New Roman"/>
          <w:b w:val="0"/>
          <w:sz w:val="20"/>
          <w:szCs w:val="20"/>
        </w:rPr>
        <w:t>Environmental Contamination</w:t>
      </w:r>
      <w:r w:rsidRPr="008C798C">
        <w:rPr>
          <w:rStyle w:val="st"/>
          <w:rFonts w:ascii="Times New Roman" w:hAnsi="Times New Roman"/>
          <w:b/>
          <w:sz w:val="20"/>
          <w:szCs w:val="20"/>
        </w:rPr>
        <w:t xml:space="preserve"> </w:t>
      </w:r>
      <w:r w:rsidRPr="008C798C">
        <w:rPr>
          <w:rStyle w:val="st"/>
          <w:rFonts w:ascii="Times New Roman" w:hAnsi="Times New Roman"/>
          <w:i/>
          <w:sz w:val="20"/>
          <w:szCs w:val="20"/>
        </w:rPr>
        <w:t xml:space="preserve">and </w:t>
      </w:r>
      <w:r w:rsidRPr="008C798C">
        <w:rPr>
          <w:rStyle w:val="Emphasis"/>
          <w:rFonts w:ascii="Times New Roman" w:hAnsi="Times New Roman"/>
          <w:b w:val="0"/>
          <w:sz w:val="20"/>
          <w:szCs w:val="20"/>
        </w:rPr>
        <w:t>Toxicology</w:t>
      </w:r>
      <w:r w:rsidRPr="0054226A">
        <w:rPr>
          <w:rFonts w:ascii="Times New Roman" w:hAnsi="Times New Roman"/>
          <w:i/>
          <w:color w:val="222222"/>
          <w:sz w:val="20"/>
          <w:szCs w:val="20"/>
          <w:shd w:val="clear" w:color="auto" w:fill="FFFFFF"/>
        </w:rPr>
        <w:t xml:space="preserve">, </w:t>
      </w:r>
      <w:r w:rsidRPr="0054226A">
        <w:rPr>
          <w:rFonts w:ascii="Times New Roman" w:hAnsi="Times New Roman"/>
          <w:color w:val="222222"/>
          <w:sz w:val="20"/>
          <w:szCs w:val="20"/>
          <w:shd w:val="clear" w:color="auto" w:fill="FFFFFF"/>
        </w:rPr>
        <w:t>87: 567 – 573.</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color w:val="222222"/>
          <w:sz w:val="20"/>
          <w:szCs w:val="20"/>
          <w:shd w:val="clear" w:color="auto" w:fill="FFFFFF"/>
        </w:rPr>
        <w:t>El-Shahawi, M. S., Hamza, A., Bashammakh, A. S. and Al-Saggaf, W.T. (2010). An overview on the accumulation, distribution, transformations, toxicity and analytical methods for the monitoring of persistent organic pollutants.</w:t>
      </w:r>
      <w:r w:rsidRPr="0054226A">
        <w:rPr>
          <w:rFonts w:ascii="Times New Roman" w:hAnsi="Times New Roman"/>
          <w:color w:val="222222"/>
          <w:sz w:val="20"/>
          <w:szCs w:val="20"/>
        </w:rPr>
        <w:t> </w:t>
      </w:r>
      <w:r w:rsidRPr="0054226A">
        <w:rPr>
          <w:rFonts w:ascii="Times New Roman" w:hAnsi="Times New Roman"/>
          <w:i/>
          <w:color w:val="222222"/>
          <w:sz w:val="20"/>
          <w:szCs w:val="20"/>
          <w:shd w:val="clear" w:color="auto" w:fill="FFFFFF"/>
        </w:rPr>
        <w:t xml:space="preserve">Talanta, </w:t>
      </w:r>
      <w:r w:rsidRPr="0054226A">
        <w:rPr>
          <w:rFonts w:ascii="Times New Roman" w:hAnsi="Times New Roman"/>
          <w:color w:val="222222"/>
          <w:sz w:val="20"/>
          <w:szCs w:val="20"/>
          <w:shd w:val="clear" w:color="auto" w:fill="FFFFFF"/>
        </w:rPr>
        <w:t>80:1587 – 1597.</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color w:val="222222"/>
          <w:sz w:val="20"/>
          <w:szCs w:val="20"/>
          <w:shd w:val="clear" w:color="auto" w:fill="FFFFFF"/>
        </w:rPr>
        <w:t>Ng, W. F., Teo, M. J. K. and Lakso, H. A. (1999). Determination of organophosphorus pesticides in soil by headspace solid-phase microextraction.</w:t>
      </w:r>
      <w:r w:rsidRPr="0054226A">
        <w:rPr>
          <w:rFonts w:ascii="Times New Roman" w:hAnsi="Times New Roman"/>
          <w:color w:val="222222"/>
          <w:sz w:val="20"/>
          <w:szCs w:val="20"/>
        </w:rPr>
        <w:t> </w:t>
      </w:r>
      <w:r w:rsidRPr="0054226A">
        <w:rPr>
          <w:rFonts w:ascii="Times New Roman" w:hAnsi="Times New Roman"/>
          <w:i/>
          <w:color w:val="222222"/>
          <w:sz w:val="20"/>
          <w:szCs w:val="20"/>
          <w:shd w:val="clear" w:color="auto" w:fill="FFFFFF"/>
        </w:rPr>
        <w:t>Fresenius'</w:t>
      </w:r>
      <w:r w:rsidRPr="0054226A">
        <w:rPr>
          <w:rFonts w:ascii="Times New Roman" w:hAnsi="Times New Roman"/>
          <w:color w:val="222222"/>
          <w:sz w:val="20"/>
          <w:szCs w:val="20"/>
          <w:shd w:val="clear" w:color="auto" w:fill="FFFFFF"/>
        </w:rPr>
        <w:t xml:space="preserve"> </w:t>
      </w:r>
      <w:r w:rsidRPr="0054226A">
        <w:rPr>
          <w:rFonts w:ascii="Times New Roman" w:hAnsi="Times New Roman"/>
          <w:i/>
          <w:color w:val="222222"/>
          <w:sz w:val="20"/>
          <w:szCs w:val="20"/>
          <w:shd w:val="clear" w:color="auto" w:fill="FFFFFF"/>
        </w:rPr>
        <w:t xml:space="preserve">Journal of Analytical Chemistry, </w:t>
      </w:r>
      <w:r w:rsidRPr="0054226A">
        <w:rPr>
          <w:rFonts w:ascii="Times New Roman" w:hAnsi="Times New Roman"/>
          <w:color w:val="222222"/>
          <w:sz w:val="20"/>
          <w:szCs w:val="20"/>
          <w:shd w:val="clear" w:color="auto" w:fill="FFFFFF"/>
        </w:rPr>
        <w:t>363: 673 – 679.</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color w:val="222222"/>
          <w:sz w:val="20"/>
          <w:szCs w:val="20"/>
          <w:shd w:val="clear" w:color="auto" w:fill="FFFFFF"/>
        </w:rPr>
        <w:t xml:space="preserve">Derbalah, A. S., Ismail, A. and Hamza, A. (2013). </w:t>
      </w:r>
      <w:r w:rsidRPr="0054226A">
        <w:rPr>
          <w:rFonts w:ascii="Times New Roman" w:hAnsi="Times New Roman"/>
          <w:color w:val="000000" w:themeColor="text1"/>
          <w:sz w:val="20"/>
          <w:szCs w:val="20"/>
          <w:shd w:val="clear" w:color="auto" w:fill="FFFFFF"/>
        </w:rPr>
        <w:t>Monitoring of organophosphorus pesticides and bioremediation chlorpyrifos in soil.</w:t>
      </w:r>
      <w:r w:rsidRPr="0054226A">
        <w:rPr>
          <w:rFonts w:ascii="Times New Roman" w:hAnsi="Times New Roman"/>
          <w:sz w:val="20"/>
          <w:szCs w:val="20"/>
        </w:rPr>
        <w:t xml:space="preserve"> </w:t>
      </w:r>
      <w:r w:rsidRPr="0054226A">
        <w:rPr>
          <w:rFonts w:ascii="Times New Roman" w:hAnsi="Times New Roman"/>
          <w:i/>
          <w:sz w:val="20"/>
          <w:szCs w:val="20"/>
        </w:rPr>
        <w:t>Egyptian Journal of Plant Production Research,</w:t>
      </w:r>
      <w:r w:rsidRPr="0054226A">
        <w:rPr>
          <w:rFonts w:ascii="Times New Roman" w:hAnsi="Times New Roman"/>
          <w:color w:val="000000" w:themeColor="text1"/>
          <w:sz w:val="20"/>
          <w:szCs w:val="20"/>
          <w:lang w:val="en-GB"/>
        </w:rPr>
        <w:t xml:space="preserve"> 1: 115 – 132.</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color w:val="222222"/>
          <w:sz w:val="20"/>
          <w:szCs w:val="20"/>
          <w:shd w:val="clear" w:color="auto" w:fill="FFFFFF"/>
        </w:rPr>
        <w:t xml:space="preserve">Sattar M. A. (1990). Fate of organophosphorus pesticides in soils. </w:t>
      </w:r>
      <w:r w:rsidRPr="0054226A">
        <w:rPr>
          <w:rFonts w:ascii="Times New Roman" w:hAnsi="Times New Roman"/>
          <w:i/>
          <w:color w:val="222222"/>
          <w:sz w:val="20"/>
          <w:szCs w:val="20"/>
          <w:shd w:val="clear" w:color="auto" w:fill="FFFFFF"/>
        </w:rPr>
        <w:t>Chemosphere</w:t>
      </w:r>
      <w:r w:rsidRPr="0054226A">
        <w:rPr>
          <w:rFonts w:ascii="Times New Roman" w:hAnsi="Times New Roman"/>
          <w:color w:val="222222"/>
          <w:sz w:val="20"/>
          <w:szCs w:val="20"/>
        </w:rPr>
        <w:t xml:space="preserve">, </w:t>
      </w:r>
      <w:r w:rsidRPr="0054226A">
        <w:rPr>
          <w:rFonts w:ascii="Times New Roman" w:hAnsi="Times New Roman"/>
          <w:color w:val="222222"/>
          <w:sz w:val="20"/>
          <w:szCs w:val="20"/>
          <w:shd w:val="clear" w:color="auto" w:fill="FFFFFF"/>
        </w:rPr>
        <w:t>20: 387 – 396.</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sz w:val="20"/>
          <w:szCs w:val="20"/>
        </w:rPr>
        <w:t>Ragnarsdottir, K. V. (2000). Environmental fate and toxicology of organophosphate pesticides. </w:t>
      </w:r>
      <w:r w:rsidRPr="0054226A">
        <w:rPr>
          <w:rFonts w:ascii="Times New Roman" w:hAnsi="Times New Roman"/>
          <w:i/>
          <w:sz w:val="20"/>
          <w:szCs w:val="20"/>
        </w:rPr>
        <w:t>Journal of the Geological Society</w:t>
      </w:r>
      <w:r w:rsidRPr="0054226A">
        <w:rPr>
          <w:rFonts w:ascii="Times New Roman" w:hAnsi="Times New Roman"/>
          <w:sz w:val="20"/>
          <w:szCs w:val="20"/>
        </w:rPr>
        <w:t>, 157: 859 – 876.</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color w:val="222222"/>
          <w:sz w:val="20"/>
          <w:szCs w:val="20"/>
          <w:shd w:val="clear" w:color="auto" w:fill="FFFFFF"/>
        </w:rPr>
        <w:t>Ismail, B. S. and Kalithasan, K. (2004). Adsorption, desorption, and mobility of permethrin in Malaysian soils.</w:t>
      </w:r>
      <w:r w:rsidRPr="0054226A">
        <w:rPr>
          <w:rFonts w:ascii="Times New Roman" w:hAnsi="Times New Roman"/>
          <w:color w:val="222222"/>
          <w:sz w:val="20"/>
          <w:szCs w:val="20"/>
        </w:rPr>
        <w:t> </w:t>
      </w:r>
      <w:r w:rsidRPr="0054226A">
        <w:rPr>
          <w:rFonts w:ascii="Times New Roman" w:hAnsi="Times New Roman"/>
          <w:i/>
          <w:color w:val="222222"/>
          <w:sz w:val="20"/>
          <w:szCs w:val="20"/>
          <w:shd w:val="clear" w:color="auto" w:fill="FFFFFF"/>
        </w:rPr>
        <w:t xml:space="preserve">Journal of Environmental Science and Health Part B, </w:t>
      </w:r>
      <w:r w:rsidRPr="0054226A">
        <w:rPr>
          <w:rFonts w:ascii="Times New Roman" w:hAnsi="Times New Roman"/>
          <w:color w:val="222222"/>
          <w:sz w:val="20"/>
          <w:szCs w:val="20"/>
          <w:shd w:val="clear" w:color="auto" w:fill="FFFFFF"/>
        </w:rPr>
        <w:t xml:space="preserve">39: 419 – 429. </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sz w:val="20"/>
          <w:szCs w:val="20"/>
          <w:shd w:val="clear" w:color="auto" w:fill="FFFFFF"/>
        </w:rPr>
        <w:t>Velasco, A., Hernández, S., Ramírez, M. and Ortíz, I. (2014). Detection of residual organochlorine and organophosphorus pesticides in agricultural soil in Rio Verde Region of San Luis Potosi, Mexico.</w:t>
      </w:r>
      <w:r w:rsidRPr="0054226A">
        <w:rPr>
          <w:rFonts w:ascii="Times New Roman" w:hAnsi="Times New Roman"/>
          <w:sz w:val="20"/>
          <w:szCs w:val="20"/>
        </w:rPr>
        <w:t> </w:t>
      </w:r>
      <w:r w:rsidRPr="0054226A">
        <w:rPr>
          <w:rFonts w:ascii="Times New Roman" w:hAnsi="Times New Roman"/>
          <w:i/>
          <w:sz w:val="20"/>
          <w:szCs w:val="20"/>
          <w:lang w:val="en-GB" w:eastAsia="en-GB"/>
        </w:rPr>
        <w:t xml:space="preserve">Journal of Environmental Science and Health, Part B: Pesticides, Food Contaminants, and Agricultural Wastes, </w:t>
      </w:r>
      <w:r w:rsidRPr="0054226A">
        <w:rPr>
          <w:rFonts w:ascii="Times New Roman" w:hAnsi="Times New Roman"/>
          <w:sz w:val="20"/>
          <w:szCs w:val="20"/>
        </w:rPr>
        <w:t xml:space="preserve">49: 498 – 504. </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color w:val="222222"/>
          <w:sz w:val="20"/>
          <w:szCs w:val="20"/>
          <w:shd w:val="clear" w:color="auto" w:fill="FFFFFF"/>
        </w:rPr>
        <w:t>Gao F., Jia, J. and Wang, X. (2008). Occurrence and ordination of dichlorodiphenyltrichloroethane and hexachlorocyclohexane in agricultural soils from Guangzhou, China.</w:t>
      </w:r>
      <w:r w:rsidRPr="0054226A">
        <w:rPr>
          <w:rFonts w:ascii="Times New Roman" w:hAnsi="Times New Roman"/>
          <w:color w:val="222222"/>
          <w:sz w:val="20"/>
          <w:szCs w:val="20"/>
        </w:rPr>
        <w:t xml:space="preserve"> </w:t>
      </w:r>
      <w:r w:rsidRPr="008C798C">
        <w:rPr>
          <w:rStyle w:val="Emphasis"/>
          <w:rFonts w:ascii="Times New Roman" w:hAnsi="Times New Roman"/>
          <w:b w:val="0"/>
          <w:sz w:val="20"/>
          <w:szCs w:val="20"/>
        </w:rPr>
        <w:t>Archives of Environmental Contamination</w:t>
      </w:r>
      <w:r w:rsidRPr="008C798C">
        <w:rPr>
          <w:rStyle w:val="st"/>
          <w:rFonts w:ascii="Times New Roman" w:hAnsi="Times New Roman"/>
          <w:b/>
          <w:sz w:val="20"/>
          <w:szCs w:val="20"/>
        </w:rPr>
        <w:t xml:space="preserve"> </w:t>
      </w:r>
      <w:r w:rsidRPr="008C798C">
        <w:rPr>
          <w:rStyle w:val="st"/>
          <w:rFonts w:ascii="Times New Roman" w:hAnsi="Times New Roman"/>
          <w:i/>
          <w:sz w:val="20"/>
          <w:szCs w:val="20"/>
        </w:rPr>
        <w:t xml:space="preserve">and </w:t>
      </w:r>
      <w:r w:rsidRPr="008C798C">
        <w:rPr>
          <w:rStyle w:val="Emphasis"/>
          <w:rFonts w:ascii="Times New Roman" w:hAnsi="Times New Roman"/>
          <w:b w:val="0"/>
          <w:sz w:val="20"/>
          <w:szCs w:val="20"/>
        </w:rPr>
        <w:t>Toxicology</w:t>
      </w:r>
      <w:r w:rsidRPr="0054226A">
        <w:rPr>
          <w:rStyle w:val="Emphasis"/>
          <w:rFonts w:ascii="Times New Roman" w:hAnsi="Times New Roman"/>
          <w:sz w:val="20"/>
          <w:szCs w:val="20"/>
        </w:rPr>
        <w:t>,</w:t>
      </w:r>
      <w:r w:rsidRPr="0054226A">
        <w:rPr>
          <w:rFonts w:ascii="Times New Roman" w:hAnsi="Times New Roman"/>
          <w:i/>
          <w:color w:val="222222"/>
          <w:sz w:val="20"/>
          <w:szCs w:val="20"/>
          <w:shd w:val="clear" w:color="auto" w:fill="FFFFFF"/>
        </w:rPr>
        <w:t xml:space="preserve"> </w:t>
      </w:r>
      <w:r w:rsidRPr="0054226A">
        <w:rPr>
          <w:rFonts w:ascii="Times New Roman" w:hAnsi="Times New Roman"/>
          <w:color w:val="222222"/>
          <w:sz w:val="20"/>
          <w:szCs w:val="20"/>
          <w:shd w:val="clear" w:color="auto" w:fill="FFFFFF"/>
        </w:rPr>
        <w:t>54:155 – 166.</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sz w:val="20"/>
          <w:szCs w:val="20"/>
        </w:rPr>
        <w:t>Bempah, C. K., Donkor, A., Yeboah, P. O., Dubey, B. and Osei-Fosu, P. (2011). A preliminary assessment of consumer’s exposure to organochlorine pesticides in fruits and vegetables and the potential health risk in Accra Metropolis, Ghana. </w:t>
      </w:r>
      <w:r w:rsidRPr="0054226A">
        <w:rPr>
          <w:rFonts w:ascii="Times New Roman" w:hAnsi="Times New Roman"/>
          <w:i/>
          <w:sz w:val="20"/>
          <w:szCs w:val="20"/>
        </w:rPr>
        <w:t xml:space="preserve">Food Chemistry, </w:t>
      </w:r>
      <w:r w:rsidRPr="0054226A">
        <w:rPr>
          <w:rFonts w:ascii="Times New Roman" w:hAnsi="Times New Roman"/>
          <w:sz w:val="20"/>
          <w:szCs w:val="20"/>
        </w:rPr>
        <w:t>128: 1058 – 1065.</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sz w:val="20"/>
          <w:szCs w:val="20"/>
        </w:rPr>
        <w:t>Kumar, B., Verma, V.K., Mishra, M., Gaur, R., Kumar, S. and Sharma, C.S. (2014). DDT and HCH (Organochlorine Pesticides) in residential soils and health assessment for human populations in Korba, India. </w:t>
      </w:r>
      <w:r w:rsidRPr="0054226A">
        <w:rPr>
          <w:rFonts w:ascii="Times New Roman" w:hAnsi="Times New Roman"/>
          <w:i/>
          <w:sz w:val="20"/>
          <w:szCs w:val="20"/>
        </w:rPr>
        <w:t xml:space="preserve">Human and Ecological Risk Assessment: An International Journal, </w:t>
      </w:r>
      <w:r w:rsidRPr="0054226A">
        <w:rPr>
          <w:rFonts w:ascii="Times New Roman" w:hAnsi="Times New Roman"/>
          <w:sz w:val="20"/>
          <w:szCs w:val="20"/>
        </w:rPr>
        <w:t>20: 1538 – 1549.</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color w:val="222222"/>
          <w:sz w:val="20"/>
          <w:szCs w:val="20"/>
          <w:shd w:val="clear" w:color="auto" w:fill="FFFFFF"/>
        </w:rPr>
        <w:t>Arias-Estévez M., López-Periago, E., Martínez-Carballo, E., Simal-Gándara, J., Mejuto, J. C. and  García-Río, L. (2008). The mobility and degradation of pesticides in soils and the pollution of groundwater resources.</w:t>
      </w:r>
      <w:r w:rsidRPr="0054226A">
        <w:rPr>
          <w:rFonts w:ascii="Times New Roman" w:hAnsi="Times New Roman"/>
          <w:color w:val="222222"/>
          <w:sz w:val="20"/>
          <w:szCs w:val="20"/>
        </w:rPr>
        <w:t> </w:t>
      </w:r>
      <w:r w:rsidRPr="0054226A">
        <w:rPr>
          <w:rFonts w:ascii="Times New Roman" w:hAnsi="Times New Roman"/>
          <w:i/>
          <w:color w:val="222222"/>
          <w:sz w:val="20"/>
          <w:szCs w:val="20"/>
          <w:shd w:val="clear" w:color="auto" w:fill="FFFFFF"/>
        </w:rPr>
        <w:t>Agriculture, Ecosystems &amp; Environment</w:t>
      </w:r>
      <w:r w:rsidRPr="0054226A">
        <w:rPr>
          <w:rFonts w:ascii="Times New Roman" w:hAnsi="Times New Roman"/>
          <w:color w:val="222222"/>
          <w:sz w:val="20"/>
          <w:szCs w:val="20"/>
        </w:rPr>
        <w:t xml:space="preserve">, </w:t>
      </w:r>
      <w:r w:rsidRPr="0054226A">
        <w:rPr>
          <w:rFonts w:ascii="Times New Roman" w:hAnsi="Times New Roman"/>
          <w:color w:val="222222"/>
          <w:sz w:val="20"/>
          <w:szCs w:val="20"/>
          <w:shd w:val="clear" w:color="auto" w:fill="FFFFFF"/>
        </w:rPr>
        <w:t>123: 247 – 260.</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sz w:val="20"/>
          <w:szCs w:val="20"/>
        </w:rPr>
        <w:t>Weng, T. K. and Chee, B. W. (2015). Water quality monitoring using biological indicators in Cameron Highlands Malaysia. </w:t>
      </w:r>
      <w:r w:rsidRPr="0054226A">
        <w:rPr>
          <w:rFonts w:ascii="Times New Roman" w:hAnsi="Times New Roman"/>
          <w:i/>
          <w:sz w:val="20"/>
          <w:szCs w:val="20"/>
        </w:rPr>
        <w:t>Journal of Sustainable Development,</w:t>
      </w:r>
      <w:r w:rsidRPr="0054226A">
        <w:rPr>
          <w:rFonts w:ascii="Times New Roman" w:hAnsi="Times New Roman"/>
          <w:sz w:val="20"/>
          <w:szCs w:val="20"/>
        </w:rPr>
        <w:t> 8: 28 – 42.</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color w:val="222222"/>
          <w:sz w:val="20"/>
          <w:szCs w:val="20"/>
          <w:shd w:val="clear" w:color="auto" w:fill="FFFFFF"/>
        </w:rPr>
        <w:t xml:space="preserve">Heiri, O., Lotter, A. F. and Lemcke, G. (2001). Loss on ignition as a method for estimating organic and carbonate content in sediments: Reproducibility and comparability of results. </w:t>
      </w:r>
      <w:r w:rsidRPr="008C798C">
        <w:rPr>
          <w:rStyle w:val="st"/>
          <w:rFonts w:ascii="Times New Roman" w:hAnsi="Times New Roman"/>
          <w:i/>
          <w:sz w:val="20"/>
          <w:szCs w:val="20"/>
        </w:rPr>
        <w:t>Journal of Paleolimnology</w:t>
      </w:r>
      <w:r w:rsidRPr="0054226A">
        <w:rPr>
          <w:rStyle w:val="st"/>
          <w:rFonts w:ascii="Times New Roman" w:hAnsi="Times New Roman"/>
          <w:sz w:val="20"/>
          <w:szCs w:val="20"/>
        </w:rPr>
        <w:t xml:space="preserve">, </w:t>
      </w:r>
      <w:r w:rsidRPr="0054226A">
        <w:rPr>
          <w:rFonts w:ascii="Times New Roman" w:hAnsi="Times New Roman"/>
          <w:color w:val="222222"/>
          <w:sz w:val="20"/>
          <w:szCs w:val="20"/>
          <w:shd w:val="clear" w:color="auto" w:fill="FFFFFF"/>
        </w:rPr>
        <w:t>25: 101 – 110.</w:t>
      </w:r>
      <w:bookmarkStart w:id="0" w:name="_GoBack"/>
      <w:bookmarkEnd w:id="0"/>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color w:val="222222"/>
          <w:sz w:val="20"/>
          <w:szCs w:val="20"/>
          <w:shd w:val="clear" w:color="auto" w:fill="FFFFFF"/>
        </w:rPr>
        <w:t>Ngan, C. K., Cheah, U. B., Abdullah, W. W., Lim, K. P. and Ismail, B. S. (2005). Fate of chlorothalonil, chlorpyrifos and profenofos in a vegetable farm in Cameron Highlands, Malaysia.</w:t>
      </w:r>
      <w:r w:rsidRPr="0054226A">
        <w:rPr>
          <w:rFonts w:ascii="Times New Roman" w:hAnsi="Times New Roman"/>
          <w:color w:val="222222"/>
          <w:sz w:val="20"/>
          <w:szCs w:val="20"/>
        </w:rPr>
        <w:t> </w:t>
      </w:r>
      <w:r w:rsidRPr="0054226A">
        <w:rPr>
          <w:rFonts w:ascii="Times New Roman" w:hAnsi="Times New Roman"/>
          <w:i/>
          <w:color w:val="222222"/>
          <w:sz w:val="20"/>
          <w:szCs w:val="20"/>
          <w:shd w:val="clear" w:color="auto" w:fill="FFFFFF"/>
        </w:rPr>
        <w:t>Water, Air, &amp; Soil Pollution</w:t>
      </w:r>
      <w:r w:rsidRPr="0054226A">
        <w:rPr>
          <w:rFonts w:ascii="Times New Roman" w:hAnsi="Times New Roman"/>
          <w:color w:val="222222"/>
          <w:sz w:val="20"/>
          <w:szCs w:val="20"/>
          <w:shd w:val="clear" w:color="auto" w:fill="FFFFFF"/>
        </w:rPr>
        <w:t xml:space="preserve">: </w:t>
      </w:r>
      <w:r w:rsidRPr="0054226A">
        <w:rPr>
          <w:rFonts w:ascii="Times New Roman" w:hAnsi="Times New Roman"/>
          <w:i/>
          <w:color w:val="222222"/>
          <w:sz w:val="20"/>
          <w:szCs w:val="20"/>
          <w:shd w:val="clear" w:color="auto" w:fill="FFFFFF"/>
        </w:rPr>
        <w:t>Focus,</w:t>
      </w:r>
      <w:r w:rsidRPr="0054226A">
        <w:rPr>
          <w:rFonts w:ascii="Times New Roman" w:hAnsi="Times New Roman"/>
          <w:color w:val="222222"/>
          <w:sz w:val="20"/>
          <w:szCs w:val="20"/>
        </w:rPr>
        <w:t> </w:t>
      </w:r>
      <w:r w:rsidRPr="0054226A">
        <w:rPr>
          <w:rFonts w:ascii="Times New Roman" w:hAnsi="Times New Roman"/>
          <w:color w:val="222222"/>
          <w:sz w:val="20"/>
          <w:szCs w:val="20"/>
          <w:shd w:val="clear" w:color="auto" w:fill="FFFFFF"/>
        </w:rPr>
        <w:t>5:125 – 136.</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sz w:val="20"/>
          <w:szCs w:val="20"/>
          <w:shd w:val="clear" w:color="auto" w:fill="FFFFFF"/>
        </w:rPr>
        <w:t>Agency for Toxic substances and Disease Registry (2005). Toxicological profile for hexachlrocyclohexanes. US Public Health Service, Atlanta, GA, USA.</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sz w:val="20"/>
          <w:szCs w:val="20"/>
          <w:shd w:val="clear" w:color="auto" w:fill="FFFFFF"/>
        </w:rPr>
        <w:t>United States Environmental Protection Agency (1989). Risk assessment guide for super fund. Human health evaluation manual, Part A. EPA 540-1-89-002.USEPA, Washington DC.</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sz w:val="20"/>
          <w:szCs w:val="20"/>
        </w:rPr>
        <w:t>Shukor, N. S. A., Khazaai, S. N. M., Hussain, Z. M. and Jan, S. L. M. (2015). Degradation behavior of chlorpyrifos in spinach (</w:t>
      </w:r>
      <w:r w:rsidRPr="0054226A">
        <w:rPr>
          <w:rFonts w:ascii="Times New Roman" w:hAnsi="Times New Roman"/>
          <w:i/>
          <w:sz w:val="20"/>
          <w:szCs w:val="20"/>
        </w:rPr>
        <w:t>Spinacia oleracea</w:t>
      </w:r>
      <w:r w:rsidRPr="0054226A">
        <w:rPr>
          <w:rFonts w:ascii="Times New Roman" w:hAnsi="Times New Roman"/>
          <w:sz w:val="20"/>
          <w:szCs w:val="20"/>
        </w:rPr>
        <w:t xml:space="preserve">) and soil. </w:t>
      </w:r>
      <w:r w:rsidRPr="0054226A">
        <w:rPr>
          <w:rFonts w:ascii="Times New Roman" w:hAnsi="Times New Roman"/>
          <w:i/>
          <w:sz w:val="20"/>
          <w:szCs w:val="20"/>
        </w:rPr>
        <w:t>Malaysian Journal of Analytical Sciences</w:t>
      </w:r>
      <w:r w:rsidRPr="0054226A">
        <w:rPr>
          <w:rFonts w:ascii="Times New Roman" w:hAnsi="Times New Roman"/>
          <w:sz w:val="20"/>
          <w:szCs w:val="20"/>
        </w:rPr>
        <w:t> 19(4), 722 – 729.</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color w:val="222222"/>
          <w:sz w:val="20"/>
          <w:szCs w:val="20"/>
          <w:shd w:val="clear" w:color="auto" w:fill="FFFFFF"/>
        </w:rPr>
        <w:t xml:space="preserve">Velasco, A., Rodríguez, J., Castillo, R. and Ortíz, I. (2012). Residues of organochlorine and organophosphorus pesticides in sugarcane crop soils and river water. </w:t>
      </w:r>
      <w:r w:rsidRPr="0054226A">
        <w:rPr>
          <w:rFonts w:ascii="Times New Roman" w:hAnsi="Times New Roman"/>
          <w:color w:val="222222"/>
          <w:sz w:val="20"/>
          <w:szCs w:val="20"/>
        </w:rPr>
        <w:t> </w:t>
      </w:r>
      <w:r w:rsidRPr="0054226A">
        <w:rPr>
          <w:rFonts w:ascii="Times New Roman" w:hAnsi="Times New Roman"/>
          <w:i/>
          <w:sz w:val="20"/>
          <w:szCs w:val="20"/>
          <w:lang w:val="en-GB" w:eastAsia="en-GB"/>
        </w:rPr>
        <w:t>Journal of Environmental Science and Health, Part B: Pesticides, Food Contaminants, and Agricultural Wastes,</w:t>
      </w:r>
      <w:r w:rsidRPr="0054226A">
        <w:rPr>
          <w:rFonts w:ascii="Times New Roman" w:hAnsi="Times New Roman"/>
          <w:b/>
          <w:i/>
          <w:sz w:val="20"/>
          <w:szCs w:val="20"/>
          <w:lang w:val="en-GB" w:eastAsia="en-GB"/>
        </w:rPr>
        <w:t xml:space="preserve"> </w:t>
      </w:r>
      <w:r w:rsidRPr="0054226A">
        <w:rPr>
          <w:rFonts w:ascii="Times New Roman" w:hAnsi="Times New Roman"/>
          <w:color w:val="222222"/>
          <w:sz w:val="20"/>
          <w:szCs w:val="20"/>
          <w:shd w:val="clear" w:color="auto" w:fill="FFFFFF"/>
        </w:rPr>
        <w:t>47: 833 – 841.</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color w:val="222222"/>
          <w:sz w:val="20"/>
          <w:szCs w:val="20"/>
          <w:shd w:val="clear" w:color="auto" w:fill="FFFFFF"/>
        </w:rPr>
        <w:t>Miglioranza, K. S. B., de Moreno, J. E., Moreno, V. J., Osterrieth, M. L. and Escalante, A. H. (1999). Fate of organochlorine pesticides in soils and terrestrial biota of “los padres” pond watershed, Argentina.</w:t>
      </w:r>
      <w:r w:rsidRPr="0054226A">
        <w:rPr>
          <w:rFonts w:ascii="Times New Roman" w:hAnsi="Times New Roman"/>
          <w:color w:val="222222"/>
          <w:sz w:val="20"/>
          <w:szCs w:val="20"/>
        </w:rPr>
        <w:t> </w:t>
      </w:r>
      <w:r w:rsidRPr="0054226A">
        <w:rPr>
          <w:rFonts w:ascii="Times New Roman" w:hAnsi="Times New Roman"/>
          <w:i/>
          <w:color w:val="222222"/>
          <w:sz w:val="20"/>
          <w:szCs w:val="20"/>
          <w:shd w:val="clear" w:color="auto" w:fill="FFFFFF"/>
        </w:rPr>
        <w:t xml:space="preserve">Environmental Pollution, </w:t>
      </w:r>
      <w:r w:rsidRPr="0054226A">
        <w:rPr>
          <w:rFonts w:ascii="Times New Roman" w:hAnsi="Times New Roman"/>
          <w:color w:val="222222"/>
          <w:sz w:val="20"/>
          <w:szCs w:val="20"/>
          <w:shd w:val="clear" w:color="auto" w:fill="FFFFFF"/>
        </w:rPr>
        <w:t>105: 91 – 99.</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color w:val="222222"/>
          <w:sz w:val="20"/>
          <w:szCs w:val="20"/>
          <w:shd w:val="clear" w:color="auto" w:fill="FFFFFF"/>
        </w:rPr>
        <w:t>Gonzalez, M., Miglioranza, K. S., Aizpún de Moreno J. E. and Moreno, V. J. (2003). Organochlorine pesticide residues in leek (</w:t>
      </w:r>
      <w:r w:rsidRPr="0054226A">
        <w:rPr>
          <w:rFonts w:ascii="Times New Roman" w:hAnsi="Times New Roman"/>
          <w:i/>
          <w:color w:val="222222"/>
          <w:sz w:val="20"/>
          <w:szCs w:val="20"/>
          <w:shd w:val="clear" w:color="auto" w:fill="FFFFFF"/>
        </w:rPr>
        <w:t>Allium porrum</w:t>
      </w:r>
      <w:r w:rsidRPr="0054226A">
        <w:rPr>
          <w:rFonts w:ascii="Times New Roman" w:hAnsi="Times New Roman"/>
          <w:color w:val="222222"/>
          <w:sz w:val="20"/>
          <w:szCs w:val="20"/>
          <w:shd w:val="clear" w:color="auto" w:fill="FFFFFF"/>
        </w:rPr>
        <w:t>) crops grown on untreated soils from an agricultural environment.</w:t>
      </w:r>
      <w:r w:rsidRPr="0054226A">
        <w:rPr>
          <w:rFonts w:ascii="Times New Roman" w:hAnsi="Times New Roman"/>
          <w:color w:val="222222"/>
          <w:sz w:val="20"/>
          <w:szCs w:val="20"/>
        </w:rPr>
        <w:t> </w:t>
      </w:r>
      <w:r w:rsidRPr="0054226A">
        <w:rPr>
          <w:rFonts w:ascii="Times New Roman" w:hAnsi="Times New Roman"/>
          <w:i/>
          <w:color w:val="222222"/>
          <w:sz w:val="20"/>
          <w:szCs w:val="20"/>
          <w:shd w:val="clear" w:color="auto" w:fill="FFFFFF"/>
        </w:rPr>
        <w:t>Journal Agricultural and Food Chemistry,</w:t>
      </w:r>
      <w:r w:rsidRPr="0054226A">
        <w:rPr>
          <w:rFonts w:ascii="Times New Roman" w:hAnsi="Times New Roman"/>
          <w:color w:val="222222"/>
          <w:sz w:val="20"/>
          <w:szCs w:val="20"/>
        </w:rPr>
        <w:t> </w:t>
      </w:r>
      <w:r w:rsidRPr="0054226A">
        <w:rPr>
          <w:rFonts w:ascii="Times New Roman" w:hAnsi="Times New Roman"/>
          <w:color w:val="222222"/>
          <w:sz w:val="20"/>
          <w:szCs w:val="20"/>
          <w:shd w:val="clear" w:color="auto" w:fill="FFFFFF"/>
        </w:rPr>
        <w:t>51: 5024 – 5029.</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sz w:val="20"/>
          <w:szCs w:val="20"/>
        </w:rPr>
        <w:t>Vig, K., Singh, D. K., Agarwal, H. C., Dhawan, A. C. and Dureja, P. (2001). Insecticide residues in cotton crop soil. </w:t>
      </w:r>
      <w:r w:rsidRPr="0054226A">
        <w:rPr>
          <w:rFonts w:ascii="Times New Roman" w:hAnsi="Times New Roman"/>
          <w:i/>
          <w:sz w:val="20"/>
          <w:szCs w:val="20"/>
          <w:lang w:val="en-GB" w:eastAsia="en-GB"/>
        </w:rPr>
        <w:t>Journal of Environmental Science and Health, Part B: Pesticides, Food Contaminants, and Agricultural Wastes,</w:t>
      </w:r>
      <w:r w:rsidRPr="0054226A">
        <w:rPr>
          <w:rFonts w:ascii="Times New Roman" w:hAnsi="Times New Roman"/>
          <w:b/>
          <w:i/>
          <w:sz w:val="20"/>
          <w:szCs w:val="20"/>
          <w:lang w:val="en-GB" w:eastAsia="en-GB"/>
        </w:rPr>
        <w:t xml:space="preserve"> </w:t>
      </w:r>
      <w:r w:rsidRPr="0054226A">
        <w:rPr>
          <w:rFonts w:ascii="Times New Roman" w:hAnsi="Times New Roman"/>
          <w:sz w:val="20"/>
          <w:szCs w:val="20"/>
        </w:rPr>
        <w:t>36: 421 – 434.</w:t>
      </w:r>
    </w:p>
    <w:p w:rsidR="00235E02" w:rsidRPr="0054226A" w:rsidRDefault="008C798C"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hyperlink r:id="rId6" w:history="1">
        <w:r w:rsidR="00235E02" w:rsidRPr="0054226A">
          <w:rPr>
            <w:rFonts w:ascii="Times New Roman" w:hAnsi="Times New Roman"/>
            <w:sz w:val="20"/>
            <w:szCs w:val="20"/>
          </w:rPr>
          <w:t>Crisanto</w:t>
        </w:r>
      </w:hyperlink>
      <w:r w:rsidR="00235E02" w:rsidRPr="0054226A">
        <w:rPr>
          <w:rFonts w:ascii="Times New Roman" w:hAnsi="Times New Roman"/>
          <w:sz w:val="20"/>
          <w:szCs w:val="20"/>
        </w:rPr>
        <w:t xml:space="preserve">, T., </w:t>
      </w:r>
      <w:hyperlink r:id="rId7" w:history="1">
        <w:r w:rsidR="00235E02" w:rsidRPr="0054226A">
          <w:rPr>
            <w:rFonts w:ascii="Times New Roman" w:hAnsi="Times New Roman"/>
            <w:sz w:val="20"/>
            <w:szCs w:val="20"/>
          </w:rPr>
          <w:t>Sanchez</w:t>
        </w:r>
        <w:r w:rsidR="00235E02" w:rsidRPr="0054226A">
          <w:rPr>
            <w:rFonts w:ascii="Cambria Math" w:hAnsi="Cambria Math" w:cs="Cambria Math"/>
            <w:sz w:val="20"/>
            <w:szCs w:val="20"/>
          </w:rPr>
          <w:t>‐</w:t>
        </w:r>
        <w:r w:rsidR="00235E02" w:rsidRPr="0054226A">
          <w:rPr>
            <w:rFonts w:ascii="Times New Roman" w:hAnsi="Times New Roman"/>
            <w:sz w:val="20"/>
            <w:szCs w:val="20"/>
          </w:rPr>
          <w:t>Martin</w:t>
        </w:r>
      </w:hyperlink>
      <w:r w:rsidR="00235E02" w:rsidRPr="0054226A">
        <w:rPr>
          <w:rFonts w:ascii="Times New Roman" w:hAnsi="Times New Roman"/>
          <w:sz w:val="20"/>
          <w:szCs w:val="20"/>
        </w:rPr>
        <w:t xml:space="preserve">, M. J., </w:t>
      </w:r>
      <w:hyperlink r:id="rId8" w:history="1">
        <w:r w:rsidR="00235E02" w:rsidRPr="0054226A">
          <w:rPr>
            <w:rFonts w:ascii="Times New Roman" w:hAnsi="Times New Roman"/>
            <w:sz w:val="20"/>
            <w:szCs w:val="20"/>
          </w:rPr>
          <w:t>Sanchez</w:t>
        </w:r>
        <w:r w:rsidR="00235E02" w:rsidRPr="0054226A">
          <w:rPr>
            <w:rFonts w:ascii="Cambria Math" w:hAnsi="Cambria Math" w:cs="Cambria Math"/>
            <w:sz w:val="20"/>
            <w:szCs w:val="20"/>
          </w:rPr>
          <w:t>‐</w:t>
        </w:r>
        <w:r w:rsidR="00235E02" w:rsidRPr="0054226A">
          <w:rPr>
            <w:rFonts w:ascii="Times New Roman" w:hAnsi="Times New Roman"/>
            <w:sz w:val="20"/>
            <w:szCs w:val="20"/>
          </w:rPr>
          <w:t>Camazano</w:t>
        </w:r>
      </w:hyperlink>
      <w:r w:rsidR="00235E02" w:rsidRPr="0054226A">
        <w:rPr>
          <w:rFonts w:ascii="Times New Roman" w:hAnsi="Times New Roman"/>
          <w:sz w:val="20"/>
          <w:szCs w:val="20"/>
        </w:rPr>
        <w:t xml:space="preserve">, M. and </w:t>
      </w:r>
      <w:hyperlink r:id="rId9" w:history="1">
        <w:r w:rsidR="00235E02" w:rsidRPr="0054226A">
          <w:rPr>
            <w:rFonts w:ascii="Times New Roman" w:hAnsi="Times New Roman"/>
            <w:sz w:val="20"/>
            <w:szCs w:val="20"/>
          </w:rPr>
          <w:t>M. Arienzo</w:t>
        </w:r>
      </w:hyperlink>
      <w:r w:rsidR="00235E02" w:rsidRPr="0054226A">
        <w:rPr>
          <w:rFonts w:ascii="Times New Roman" w:hAnsi="Times New Roman"/>
          <w:sz w:val="20"/>
          <w:szCs w:val="20"/>
        </w:rPr>
        <w:t xml:space="preserve"> (1994). Mobility of pesticides in soils. influence of soil properties and pesticide structure. </w:t>
      </w:r>
      <w:r w:rsidR="00235E02" w:rsidRPr="0054226A">
        <w:rPr>
          <w:rFonts w:ascii="Times New Roman" w:hAnsi="Times New Roman"/>
          <w:i/>
          <w:sz w:val="20"/>
          <w:szCs w:val="20"/>
        </w:rPr>
        <w:t>Toxicological &amp; Environmental Chemistry,</w:t>
      </w:r>
      <w:r w:rsidR="00235E02" w:rsidRPr="0054226A">
        <w:rPr>
          <w:rFonts w:ascii="Times New Roman" w:hAnsi="Times New Roman"/>
          <w:sz w:val="20"/>
          <w:szCs w:val="20"/>
        </w:rPr>
        <w:t> 45: 97 – 104.</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color w:val="222222"/>
          <w:sz w:val="20"/>
          <w:szCs w:val="20"/>
          <w:shd w:val="clear" w:color="auto" w:fill="FFFFFF"/>
        </w:rPr>
        <w:t>Gonzalez, M., Miglioranza, K. S., Aizpún, J. E., Isla, F. I. and Peña, A. (2010). Assessing pesticide leaching and desorption in soils with different agricultural activities from Argentina (Pampa and Patagonia).</w:t>
      </w:r>
      <w:r w:rsidRPr="0054226A">
        <w:rPr>
          <w:rFonts w:ascii="Times New Roman" w:hAnsi="Times New Roman"/>
          <w:color w:val="222222"/>
          <w:sz w:val="20"/>
          <w:szCs w:val="20"/>
        </w:rPr>
        <w:t> </w:t>
      </w:r>
      <w:r w:rsidRPr="0054226A">
        <w:rPr>
          <w:rFonts w:ascii="Times New Roman" w:hAnsi="Times New Roman"/>
          <w:i/>
          <w:color w:val="222222"/>
          <w:sz w:val="20"/>
          <w:szCs w:val="20"/>
          <w:shd w:val="clear" w:color="auto" w:fill="FFFFFF"/>
        </w:rPr>
        <w:t>Chemosphere,</w:t>
      </w:r>
      <w:r w:rsidRPr="0054226A">
        <w:rPr>
          <w:rFonts w:ascii="Times New Roman" w:hAnsi="Times New Roman"/>
          <w:color w:val="222222"/>
          <w:sz w:val="20"/>
          <w:szCs w:val="20"/>
        </w:rPr>
        <w:t> </w:t>
      </w:r>
      <w:r w:rsidRPr="0054226A">
        <w:rPr>
          <w:rFonts w:ascii="Times New Roman" w:hAnsi="Times New Roman"/>
          <w:color w:val="222222"/>
          <w:sz w:val="20"/>
          <w:szCs w:val="20"/>
          <w:shd w:val="clear" w:color="auto" w:fill="FFFFFF"/>
        </w:rPr>
        <w:t>81: 351 – 358.</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color w:val="222222"/>
          <w:sz w:val="20"/>
          <w:szCs w:val="20"/>
          <w:shd w:val="clear" w:color="auto" w:fill="FFFFFF"/>
        </w:rPr>
        <w:t xml:space="preserve">Pereira, R. C., Camps-Arbestain, M., Garrido, B. R., Macías, F. M. and Monterroso, C. (2006). </w:t>
      </w:r>
      <w:r>
        <w:rPr>
          <w:rFonts w:ascii="Times New Roman" w:hAnsi="Times New Roman"/>
          <w:color w:val="222222"/>
          <w:sz w:val="20"/>
          <w:szCs w:val="20"/>
          <w:shd w:val="clear" w:color="auto" w:fill="FFFFFF"/>
        </w:rPr>
        <w:t xml:space="preserve"> </w:t>
      </w:r>
      <w:r w:rsidRPr="0054226A">
        <w:rPr>
          <w:rFonts w:ascii="Times New Roman" w:hAnsi="Times New Roman"/>
          <w:color w:val="222222"/>
          <w:sz w:val="20"/>
          <w:szCs w:val="20"/>
          <w:shd w:val="clear" w:color="auto" w:fill="FFFFFF"/>
        </w:rPr>
        <w:t>Behaviour of α-, β-, γ-, and δ-Hexachlorocyclohexane in the soil–plant system of a contaminated site.</w:t>
      </w:r>
      <w:r w:rsidRPr="0054226A">
        <w:rPr>
          <w:rFonts w:ascii="Times New Roman" w:hAnsi="Times New Roman"/>
          <w:color w:val="222222"/>
          <w:sz w:val="20"/>
          <w:szCs w:val="20"/>
        </w:rPr>
        <w:t> </w:t>
      </w:r>
      <w:r w:rsidRPr="0054226A">
        <w:rPr>
          <w:rFonts w:ascii="Times New Roman" w:hAnsi="Times New Roman"/>
          <w:i/>
          <w:color w:val="222222"/>
          <w:sz w:val="20"/>
          <w:szCs w:val="20"/>
          <w:shd w:val="clear" w:color="auto" w:fill="FFFFFF"/>
        </w:rPr>
        <w:t>Environmental Pollution,</w:t>
      </w:r>
      <w:r w:rsidRPr="0054226A">
        <w:rPr>
          <w:rFonts w:ascii="Times New Roman" w:hAnsi="Times New Roman"/>
          <w:color w:val="222222"/>
          <w:sz w:val="20"/>
          <w:szCs w:val="20"/>
          <w:shd w:val="clear" w:color="auto" w:fill="FFFFFF"/>
        </w:rPr>
        <w:t xml:space="preserve"> 144: 210 – 217. </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sz w:val="20"/>
          <w:szCs w:val="20"/>
        </w:rPr>
        <w:t xml:space="preserve">Chapman, R. A. and Cole, C. M. (1982). Observations on the influence of water and soil pH on the persistence of insecticides. </w:t>
      </w:r>
      <w:r w:rsidRPr="0054226A">
        <w:rPr>
          <w:rFonts w:ascii="Times New Roman" w:hAnsi="Times New Roman"/>
          <w:i/>
          <w:sz w:val="20"/>
          <w:szCs w:val="20"/>
        </w:rPr>
        <w:t>Journal of Environmental Science &amp; Health Part B</w:t>
      </w:r>
      <w:r w:rsidRPr="0054226A">
        <w:rPr>
          <w:rFonts w:ascii="Times New Roman" w:hAnsi="Times New Roman"/>
          <w:sz w:val="20"/>
          <w:szCs w:val="20"/>
        </w:rPr>
        <w:t xml:space="preserve">, 17: 487 – 504. </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sz w:val="20"/>
          <w:szCs w:val="20"/>
        </w:rPr>
        <w:t>Krishna, K. R. and Philip, R. (2008). Adsorption and desorption characteristics of lindane, carbofuran and methyl parathion on various Indian soils. </w:t>
      </w:r>
      <w:r w:rsidRPr="0054226A">
        <w:rPr>
          <w:rFonts w:ascii="Times New Roman" w:hAnsi="Times New Roman"/>
          <w:i/>
          <w:sz w:val="20"/>
          <w:szCs w:val="20"/>
        </w:rPr>
        <w:t>Journal of Hazardous Materials</w:t>
      </w:r>
      <w:r w:rsidRPr="0054226A">
        <w:rPr>
          <w:rFonts w:ascii="Times New Roman" w:hAnsi="Times New Roman"/>
          <w:sz w:val="20"/>
          <w:szCs w:val="20"/>
        </w:rPr>
        <w:t> 160: 559 – 567.</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color w:val="222222"/>
          <w:sz w:val="20"/>
          <w:szCs w:val="20"/>
          <w:shd w:val="clear" w:color="auto" w:fill="FFFFFF"/>
        </w:rPr>
        <w:t>Vagi, M. C, Petsas, A. S., Kostopoulou, M. N. and Lekkas, T. D. (2010). Adsorption and desorption      processes of the organophosphorus pesticides, dimethoate and fenthion, onto three Greek agricultural soils.</w:t>
      </w:r>
      <w:r w:rsidRPr="0054226A">
        <w:rPr>
          <w:rFonts w:ascii="Times New Roman" w:hAnsi="Times New Roman"/>
          <w:color w:val="222222"/>
          <w:sz w:val="20"/>
          <w:szCs w:val="20"/>
        </w:rPr>
        <w:t> </w:t>
      </w:r>
      <w:r w:rsidRPr="0054226A">
        <w:rPr>
          <w:rFonts w:ascii="Times New Roman" w:hAnsi="Times New Roman"/>
          <w:i/>
          <w:color w:val="222222"/>
          <w:sz w:val="20"/>
          <w:szCs w:val="20"/>
          <w:shd w:val="clear" w:color="auto" w:fill="FFFFFF"/>
        </w:rPr>
        <w:t xml:space="preserve">International Journal of Environmental and Analytical Chemistry, </w:t>
      </w:r>
      <w:r w:rsidRPr="0054226A">
        <w:rPr>
          <w:rFonts w:ascii="Times New Roman" w:hAnsi="Times New Roman"/>
          <w:color w:val="222222"/>
          <w:sz w:val="20"/>
          <w:szCs w:val="20"/>
          <w:shd w:val="clear" w:color="auto" w:fill="FFFFFF"/>
        </w:rPr>
        <w:t>90: 369 – 389.</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sz w:val="20"/>
          <w:szCs w:val="20"/>
        </w:rPr>
        <w:t>Rodriguez-Cruz, M. S., Sanchez-Martin, M. J. Andrades, M. J. and Sánchez-Camazano, M. (2006). Comparison of pesticide sorption by physicochemically modified soils with natural soils as a function of soil properties and pesticide hydrophobicity. </w:t>
      </w:r>
      <w:r w:rsidRPr="0054226A">
        <w:rPr>
          <w:rFonts w:ascii="Times New Roman" w:hAnsi="Times New Roman"/>
          <w:i/>
          <w:sz w:val="20"/>
          <w:szCs w:val="20"/>
        </w:rPr>
        <w:t>Soil and Sediment Contamination,</w:t>
      </w:r>
      <w:r w:rsidRPr="0054226A">
        <w:rPr>
          <w:rFonts w:ascii="Times New Roman" w:hAnsi="Times New Roman"/>
          <w:sz w:val="20"/>
          <w:szCs w:val="20"/>
        </w:rPr>
        <w:t xml:space="preserve"> 15:401 – 415.</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sz w:val="20"/>
          <w:szCs w:val="20"/>
        </w:rPr>
        <w:t xml:space="preserve">Tao, S., Xu, F. L., Wang, X. J., Liu, W. X., Gong, Z. M. and Fang, J.Y. (2005). Organochlorine pesticides in agricultural soil and vegetables from Tianjin, China. </w:t>
      </w:r>
      <w:r w:rsidRPr="0054226A">
        <w:rPr>
          <w:rFonts w:ascii="Times New Roman" w:hAnsi="Times New Roman"/>
          <w:i/>
          <w:sz w:val="20"/>
          <w:szCs w:val="20"/>
        </w:rPr>
        <w:t>Environmental Science &amp; Technology</w:t>
      </w:r>
      <w:r w:rsidRPr="0054226A">
        <w:rPr>
          <w:rFonts w:ascii="Times New Roman" w:hAnsi="Times New Roman"/>
          <w:sz w:val="20"/>
          <w:szCs w:val="20"/>
        </w:rPr>
        <w:t>, 39(8): 2494 – 2499.</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sz w:val="20"/>
          <w:szCs w:val="20"/>
        </w:rPr>
        <w:t>Getzin, L. W. (1968). Persistence of diazinon and zinophos in soil: Effects of autoclaving, temperature, moisture, and acidity. </w:t>
      </w:r>
      <w:r w:rsidRPr="0054226A">
        <w:rPr>
          <w:rFonts w:ascii="Times New Roman" w:hAnsi="Times New Roman"/>
          <w:i/>
          <w:sz w:val="20"/>
          <w:szCs w:val="20"/>
        </w:rPr>
        <w:t>Journal of Economic Entomology,</w:t>
      </w:r>
      <w:r w:rsidRPr="0054226A">
        <w:rPr>
          <w:rFonts w:ascii="Times New Roman" w:hAnsi="Times New Roman"/>
          <w:sz w:val="20"/>
          <w:szCs w:val="20"/>
        </w:rPr>
        <w:t> 61: 1560 – 1565.</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sz w:val="20"/>
          <w:szCs w:val="20"/>
        </w:rPr>
        <w:t>Nemeth-Konda, L., Füleky, G., Morovjan, G. and Csokan, P. (2002). Sorption behaviour of acetochlor, atrazine, carbendazim, diazinon, imidacloprid and isoproturon on Hungarian agricultural soil. </w:t>
      </w:r>
      <w:r w:rsidRPr="0054226A">
        <w:rPr>
          <w:rFonts w:ascii="Times New Roman" w:hAnsi="Times New Roman"/>
          <w:i/>
          <w:sz w:val="20"/>
          <w:szCs w:val="20"/>
        </w:rPr>
        <w:t xml:space="preserve">Chemosphere, </w:t>
      </w:r>
      <w:r w:rsidRPr="0054226A">
        <w:rPr>
          <w:rFonts w:ascii="Times New Roman" w:hAnsi="Times New Roman"/>
          <w:sz w:val="20"/>
          <w:szCs w:val="20"/>
        </w:rPr>
        <w:t>48: 545 – 552.</w:t>
      </w:r>
    </w:p>
    <w:p w:rsidR="00235E02" w:rsidRPr="0054226A" w:rsidRDefault="00235E02" w:rsidP="00235E02">
      <w:pPr>
        <w:pStyle w:val="ListParagraph"/>
        <w:numPr>
          <w:ilvl w:val="0"/>
          <w:numId w:val="1"/>
        </w:numPr>
        <w:spacing w:after="0" w:line="240" w:lineRule="auto"/>
        <w:ind w:left="360"/>
        <w:jc w:val="both"/>
        <w:rPr>
          <w:rFonts w:ascii="Times New Roman" w:hAnsi="Times New Roman"/>
          <w:color w:val="222222"/>
          <w:sz w:val="20"/>
          <w:szCs w:val="20"/>
          <w:shd w:val="clear" w:color="auto" w:fill="FFFFFF"/>
        </w:rPr>
      </w:pPr>
      <w:r w:rsidRPr="0054226A">
        <w:rPr>
          <w:rFonts w:ascii="Times New Roman" w:hAnsi="Times New Roman"/>
          <w:sz w:val="20"/>
          <w:szCs w:val="20"/>
        </w:rPr>
        <w:t xml:space="preserve">Kanazawa, J. (1989). Relationship between the soil sorption constants for pesticides and their physicochemical properties. </w:t>
      </w:r>
      <w:r w:rsidRPr="0054226A">
        <w:rPr>
          <w:rFonts w:ascii="Times New Roman" w:hAnsi="Times New Roman"/>
          <w:i/>
          <w:sz w:val="20"/>
          <w:szCs w:val="20"/>
        </w:rPr>
        <w:t>Environmental Toxicology and Chemistry,</w:t>
      </w:r>
      <w:r w:rsidRPr="0054226A">
        <w:rPr>
          <w:rFonts w:ascii="Times New Roman" w:hAnsi="Times New Roman"/>
          <w:sz w:val="20"/>
          <w:szCs w:val="20"/>
        </w:rPr>
        <w:t> 8: 477 – 484.</w:t>
      </w:r>
    </w:p>
    <w:p w:rsidR="00235E02" w:rsidRPr="00235E02" w:rsidRDefault="00235E02" w:rsidP="00235E02">
      <w:pPr>
        <w:spacing w:after="0" w:line="240" w:lineRule="auto"/>
        <w:ind w:right="-14"/>
        <w:jc w:val="both"/>
        <w:rPr>
          <w:rFonts w:ascii="Times New Roman" w:hAnsi="Times New Roman"/>
          <w:noProof/>
          <w:sz w:val="20"/>
          <w:szCs w:val="20"/>
          <w:lang w:val="ms-MY"/>
        </w:rPr>
      </w:pPr>
    </w:p>
    <w:sectPr w:rsidR="00235E02" w:rsidRPr="00235E02" w:rsidSect="00235E02">
      <w:pgSz w:w="12240" w:h="15840"/>
      <w:pgMar w:top="1800" w:right="1469" w:bottom="1699" w:left="148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74579D"/>
    <w:multiLevelType w:val="hybridMultilevel"/>
    <w:tmpl w:val="CDBEA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E02"/>
    <w:rsid w:val="00235E02"/>
    <w:rsid w:val="0050765C"/>
    <w:rsid w:val="0052471D"/>
    <w:rsid w:val="007A690F"/>
    <w:rsid w:val="008C798C"/>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E02"/>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235E02"/>
    <w:rPr>
      <w:b/>
      <w:bCs/>
      <w:i/>
      <w:iCs/>
      <w:spacing w:val="10"/>
    </w:rPr>
  </w:style>
  <w:style w:type="paragraph" w:styleId="ListParagraph">
    <w:name w:val="List Paragraph"/>
    <w:basedOn w:val="Normal"/>
    <w:uiPriority w:val="34"/>
    <w:qFormat/>
    <w:rsid w:val="00235E02"/>
    <w:pPr>
      <w:ind w:left="720"/>
      <w:contextualSpacing/>
    </w:pPr>
  </w:style>
  <w:style w:type="character" w:customStyle="1" w:styleId="st">
    <w:name w:val="st"/>
    <w:basedOn w:val="DefaultParagraphFont"/>
    <w:rsid w:val="00235E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E02"/>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235E02"/>
    <w:rPr>
      <w:b/>
      <w:bCs/>
      <w:i/>
      <w:iCs/>
      <w:spacing w:val="10"/>
    </w:rPr>
  </w:style>
  <w:style w:type="paragraph" w:styleId="ListParagraph">
    <w:name w:val="List Paragraph"/>
    <w:basedOn w:val="Normal"/>
    <w:uiPriority w:val="34"/>
    <w:qFormat/>
    <w:rsid w:val="00235E02"/>
    <w:pPr>
      <w:ind w:left="720"/>
      <w:contextualSpacing/>
    </w:pPr>
  </w:style>
  <w:style w:type="character" w:customStyle="1" w:styleId="st">
    <w:name w:val="st"/>
    <w:basedOn w:val="DefaultParagraphFont"/>
    <w:rsid w:val="00235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ndfonline.com/author/Sanchez-Camazano%2C+M" TargetMode="External"/><Relationship Id="rId3" Type="http://schemas.microsoft.com/office/2007/relationships/stylesWithEffects" Target="stylesWithEffects.xml"/><Relationship Id="rId7" Type="http://schemas.openxmlformats.org/officeDocument/2006/relationships/hyperlink" Target="http://www.tandfonline.com/author/Sanchez-Martin%2C+M+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andfonline.com/author/Crisanto%2C+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andfonline.com/author/Arienzo%2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2046</Words>
  <Characters>10293</Characters>
  <Application>Microsoft Office Word</Application>
  <DocSecurity>0</DocSecurity>
  <Lines>257</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3</cp:revision>
  <dcterms:created xsi:type="dcterms:W3CDTF">2016-10-17T06:38:00Z</dcterms:created>
  <dcterms:modified xsi:type="dcterms:W3CDTF">2016-10-24T22:34:00Z</dcterms:modified>
</cp:coreProperties>
</file>