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1B5" w:rsidRDefault="001031B5" w:rsidP="001031B5">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20 No 6 (2016): 1474 - 1480</w:t>
      </w:r>
    </w:p>
    <w:p w:rsidR="001031B5" w:rsidRDefault="001031B5" w:rsidP="001031B5">
      <w:pPr>
        <w:spacing w:after="0" w:line="240" w:lineRule="auto"/>
        <w:outlineLvl w:val="0"/>
        <w:rPr>
          <w:rFonts w:ascii="Times New Roman" w:hAnsi="Times New Roman"/>
          <w:sz w:val="24"/>
          <w:szCs w:val="24"/>
        </w:rPr>
      </w:pPr>
    </w:p>
    <w:p w:rsidR="001031B5" w:rsidRDefault="001031B5" w:rsidP="001031B5">
      <w:pPr>
        <w:spacing w:after="0" w:line="240" w:lineRule="auto"/>
        <w:outlineLvl w:val="0"/>
        <w:rPr>
          <w:rFonts w:ascii="Times New Roman" w:hAnsi="Times New Roman"/>
          <w:sz w:val="24"/>
          <w:szCs w:val="24"/>
        </w:rPr>
      </w:pPr>
    </w:p>
    <w:p w:rsidR="001031B5" w:rsidRPr="001031B5" w:rsidRDefault="001031B5" w:rsidP="001031B5">
      <w:pPr>
        <w:spacing w:after="0" w:line="240" w:lineRule="auto"/>
        <w:outlineLvl w:val="0"/>
        <w:rPr>
          <w:rFonts w:ascii="Times New Roman" w:hAnsi="Times New Roman"/>
          <w:sz w:val="24"/>
          <w:szCs w:val="24"/>
        </w:rPr>
      </w:pPr>
    </w:p>
    <w:p w:rsidR="001031B5" w:rsidRPr="008A0B48" w:rsidRDefault="001031B5" w:rsidP="001031B5">
      <w:pPr>
        <w:spacing w:after="0" w:line="240" w:lineRule="auto"/>
        <w:jc w:val="center"/>
        <w:outlineLvl w:val="0"/>
        <w:rPr>
          <w:rFonts w:ascii="Times New Roman" w:hAnsi="Times New Roman"/>
          <w:b/>
          <w:color w:val="548DD4"/>
          <w:sz w:val="28"/>
        </w:rPr>
      </w:pPr>
      <w:r w:rsidRPr="00892612">
        <w:rPr>
          <w:rFonts w:ascii="Times New Roman" w:hAnsi="Times New Roman"/>
          <w:sz w:val="28"/>
        </w:rPr>
        <w:t>THE EFFECT OF VARIOUS PRETREATMENT MET</w:t>
      </w:r>
      <w:r>
        <w:rPr>
          <w:rFonts w:ascii="Times New Roman" w:hAnsi="Times New Roman"/>
          <w:sz w:val="28"/>
        </w:rPr>
        <w:t xml:space="preserve">HODS ON EMPTY FRUIT BUNCH </w:t>
      </w:r>
      <w:r w:rsidRPr="00892612">
        <w:rPr>
          <w:rFonts w:ascii="Times New Roman" w:hAnsi="Times New Roman"/>
          <w:sz w:val="28"/>
        </w:rPr>
        <w:t xml:space="preserve">FOR GLUCOSE PRODUCTION </w:t>
      </w:r>
    </w:p>
    <w:p w:rsidR="001031B5" w:rsidRPr="008A0B48" w:rsidRDefault="001031B5" w:rsidP="001031B5">
      <w:pPr>
        <w:spacing w:after="0" w:line="240" w:lineRule="auto"/>
        <w:jc w:val="center"/>
        <w:outlineLvl w:val="0"/>
        <w:rPr>
          <w:rFonts w:ascii="Times New Roman" w:hAnsi="Times New Roman"/>
          <w:b/>
          <w:color w:val="548DD4"/>
          <w:sz w:val="24"/>
          <w:szCs w:val="24"/>
        </w:rPr>
      </w:pPr>
    </w:p>
    <w:p w:rsidR="001031B5" w:rsidRDefault="001031B5" w:rsidP="001031B5">
      <w:pPr>
        <w:spacing w:after="0" w:line="240" w:lineRule="auto"/>
        <w:jc w:val="center"/>
        <w:outlineLvl w:val="0"/>
        <w:rPr>
          <w:rFonts w:ascii="Times New Roman" w:hAnsi="Times New Roman"/>
          <w:sz w:val="24"/>
        </w:rPr>
      </w:pPr>
      <w:r>
        <w:rPr>
          <w:rFonts w:ascii="Times New Roman" w:hAnsi="Times New Roman"/>
          <w:sz w:val="24"/>
        </w:rPr>
        <w:t>(Kesan Kaedah Prarawatan Berbeza Terhadap Tandan Kosong Kelapa Sawit Bagi Penghasilan Glukosa Ringkas)</w:t>
      </w:r>
    </w:p>
    <w:p w:rsidR="001031B5" w:rsidRPr="008A0B48" w:rsidRDefault="001031B5" w:rsidP="001031B5">
      <w:pPr>
        <w:spacing w:after="0" w:line="240" w:lineRule="auto"/>
        <w:jc w:val="center"/>
        <w:outlineLvl w:val="0"/>
        <w:rPr>
          <w:rFonts w:ascii="Times New Roman" w:hAnsi="Times New Roman"/>
          <w:b/>
          <w:color w:val="548DD4"/>
          <w:sz w:val="20"/>
          <w:szCs w:val="20"/>
        </w:rPr>
      </w:pPr>
    </w:p>
    <w:p w:rsidR="001031B5" w:rsidRPr="00645433" w:rsidRDefault="001031B5" w:rsidP="001031B5">
      <w:pPr>
        <w:spacing w:after="0" w:line="240" w:lineRule="auto"/>
        <w:jc w:val="center"/>
        <w:outlineLvl w:val="0"/>
        <w:rPr>
          <w:rFonts w:ascii="Times New Roman" w:hAnsi="Times New Roman"/>
          <w:sz w:val="20"/>
          <w:szCs w:val="20"/>
          <w:vertAlign w:val="superscript"/>
        </w:rPr>
      </w:pPr>
      <w:r w:rsidRPr="00645433">
        <w:rPr>
          <w:rFonts w:ascii="Times New Roman" w:hAnsi="Times New Roman"/>
          <w:sz w:val="20"/>
          <w:szCs w:val="20"/>
        </w:rPr>
        <w:t>Nurul Hazirah Che Hamzah</w:t>
      </w:r>
      <w:r w:rsidRPr="00645433">
        <w:rPr>
          <w:rFonts w:ascii="Times New Roman" w:hAnsi="Times New Roman"/>
          <w:sz w:val="20"/>
          <w:szCs w:val="20"/>
          <w:vertAlign w:val="superscript"/>
        </w:rPr>
        <w:t>1</w:t>
      </w:r>
      <w:r w:rsidRPr="00645433">
        <w:rPr>
          <w:rFonts w:ascii="Times New Roman" w:hAnsi="Times New Roman"/>
          <w:sz w:val="20"/>
          <w:szCs w:val="20"/>
        </w:rPr>
        <w:t>, Masturah Markom</w:t>
      </w:r>
      <w:r w:rsidRPr="00645433">
        <w:rPr>
          <w:rFonts w:ascii="Times New Roman" w:hAnsi="Times New Roman"/>
          <w:sz w:val="20"/>
          <w:szCs w:val="20"/>
          <w:vertAlign w:val="superscript"/>
        </w:rPr>
        <w:t>1</w:t>
      </w:r>
      <w:r w:rsidRPr="00645433">
        <w:rPr>
          <w:rFonts w:ascii="Times New Roman" w:hAnsi="Times New Roman"/>
          <w:sz w:val="20"/>
          <w:szCs w:val="20"/>
        </w:rPr>
        <w:t>*, Shuhaida Harun</w:t>
      </w:r>
      <w:r w:rsidRPr="00645433">
        <w:rPr>
          <w:rFonts w:ascii="Times New Roman" w:hAnsi="Times New Roman"/>
          <w:sz w:val="20"/>
          <w:szCs w:val="20"/>
          <w:vertAlign w:val="superscript"/>
        </w:rPr>
        <w:t>1</w:t>
      </w:r>
      <w:r w:rsidRPr="00645433">
        <w:rPr>
          <w:rFonts w:ascii="Times New Roman" w:hAnsi="Times New Roman"/>
          <w:sz w:val="20"/>
          <w:szCs w:val="20"/>
        </w:rPr>
        <w:t>,</w:t>
      </w:r>
      <w:r w:rsidRPr="00645433">
        <w:rPr>
          <w:sz w:val="20"/>
          <w:szCs w:val="20"/>
        </w:rPr>
        <w:t xml:space="preserve"> </w:t>
      </w:r>
      <w:r w:rsidRPr="00645433">
        <w:rPr>
          <w:rFonts w:ascii="Times New Roman" w:hAnsi="Times New Roman"/>
          <w:sz w:val="20"/>
          <w:szCs w:val="20"/>
        </w:rPr>
        <w:t>Osman Hassan</w:t>
      </w:r>
      <w:r w:rsidRPr="00645433">
        <w:rPr>
          <w:rFonts w:ascii="Times New Roman" w:hAnsi="Times New Roman"/>
          <w:sz w:val="20"/>
          <w:szCs w:val="20"/>
          <w:vertAlign w:val="superscript"/>
        </w:rPr>
        <w:t>2</w:t>
      </w:r>
    </w:p>
    <w:p w:rsidR="001031B5" w:rsidRPr="001031B5" w:rsidRDefault="001031B5" w:rsidP="001031B5">
      <w:pPr>
        <w:spacing w:after="0" w:line="240" w:lineRule="auto"/>
        <w:jc w:val="center"/>
        <w:rPr>
          <w:rFonts w:ascii="Times New Roman" w:hAnsi="Times New Roman"/>
          <w:noProof/>
          <w:sz w:val="20"/>
          <w:szCs w:val="20"/>
          <w:lang w:bidi="ar-SA"/>
        </w:rPr>
      </w:pPr>
    </w:p>
    <w:p w:rsidR="001031B5" w:rsidRPr="001031B5" w:rsidRDefault="001031B5" w:rsidP="001031B5">
      <w:pPr>
        <w:spacing w:after="0" w:line="240" w:lineRule="auto"/>
        <w:jc w:val="center"/>
        <w:outlineLvl w:val="0"/>
        <w:rPr>
          <w:rFonts w:ascii="Times New Roman" w:hAnsi="Times New Roman"/>
          <w:i/>
          <w:sz w:val="20"/>
          <w:szCs w:val="20"/>
        </w:rPr>
      </w:pPr>
      <w:r w:rsidRPr="001031B5">
        <w:rPr>
          <w:rFonts w:ascii="Times New Roman" w:hAnsi="Times New Roman"/>
          <w:i/>
          <w:sz w:val="20"/>
          <w:szCs w:val="20"/>
          <w:vertAlign w:val="superscript"/>
        </w:rPr>
        <w:t>1</w:t>
      </w:r>
      <w:r w:rsidRPr="001031B5">
        <w:rPr>
          <w:rFonts w:ascii="Times New Roman" w:hAnsi="Times New Roman"/>
          <w:i/>
          <w:sz w:val="20"/>
          <w:szCs w:val="20"/>
        </w:rPr>
        <w:t>Department of Chemical and Process Engineering, Faculty of Engineering and Built Environment</w:t>
      </w:r>
    </w:p>
    <w:p w:rsidR="001031B5" w:rsidRPr="001031B5" w:rsidRDefault="001031B5" w:rsidP="001031B5">
      <w:pPr>
        <w:spacing w:after="0" w:line="240" w:lineRule="auto"/>
        <w:jc w:val="center"/>
        <w:outlineLvl w:val="0"/>
        <w:rPr>
          <w:rFonts w:ascii="Times New Roman" w:hAnsi="Times New Roman"/>
          <w:i/>
          <w:sz w:val="20"/>
          <w:szCs w:val="20"/>
        </w:rPr>
      </w:pPr>
      <w:r w:rsidRPr="001031B5">
        <w:rPr>
          <w:rFonts w:ascii="Times New Roman" w:hAnsi="Times New Roman"/>
          <w:i/>
          <w:sz w:val="20"/>
          <w:szCs w:val="20"/>
          <w:vertAlign w:val="superscript"/>
        </w:rPr>
        <w:t>2</w:t>
      </w:r>
      <w:r w:rsidRPr="001031B5">
        <w:rPr>
          <w:rFonts w:ascii="Times New Roman" w:hAnsi="Times New Roman"/>
          <w:i/>
          <w:sz w:val="20"/>
          <w:szCs w:val="20"/>
        </w:rPr>
        <w:t>School of Chemical Sciences and Food Technology, Faculty of Science and Technology</w:t>
      </w:r>
    </w:p>
    <w:p w:rsidR="001031B5" w:rsidRPr="001031B5" w:rsidRDefault="001031B5" w:rsidP="001031B5">
      <w:pPr>
        <w:spacing w:after="0" w:line="240" w:lineRule="auto"/>
        <w:jc w:val="center"/>
        <w:outlineLvl w:val="0"/>
        <w:rPr>
          <w:rFonts w:ascii="Times New Roman" w:hAnsi="Times New Roman"/>
          <w:i/>
          <w:sz w:val="20"/>
          <w:szCs w:val="20"/>
        </w:rPr>
      </w:pPr>
      <w:r w:rsidRPr="001031B5">
        <w:rPr>
          <w:rFonts w:ascii="Times New Roman" w:hAnsi="Times New Roman"/>
          <w:i/>
          <w:sz w:val="20"/>
          <w:szCs w:val="20"/>
        </w:rPr>
        <w:t>Universiti Kebangsaan Malaysia, 43600 UKM Bangi, Selangor, Malaysia</w:t>
      </w:r>
    </w:p>
    <w:p w:rsidR="001031B5" w:rsidRPr="001031B5" w:rsidRDefault="001031B5" w:rsidP="001031B5">
      <w:pPr>
        <w:spacing w:after="0" w:line="240" w:lineRule="auto"/>
        <w:jc w:val="center"/>
        <w:rPr>
          <w:rFonts w:ascii="Times New Roman" w:hAnsi="Times New Roman"/>
          <w:noProof/>
          <w:sz w:val="20"/>
          <w:szCs w:val="20"/>
          <w:lang w:bidi="ar-SA"/>
        </w:rPr>
      </w:pPr>
    </w:p>
    <w:p w:rsidR="001031B5" w:rsidRPr="001031B5" w:rsidRDefault="001031B5" w:rsidP="001031B5">
      <w:pPr>
        <w:spacing w:after="0" w:line="240" w:lineRule="auto"/>
        <w:jc w:val="center"/>
        <w:outlineLvl w:val="0"/>
        <w:rPr>
          <w:rFonts w:ascii="Times New Roman" w:hAnsi="Times New Roman"/>
          <w:i/>
          <w:color w:val="548DD4"/>
          <w:sz w:val="20"/>
          <w:szCs w:val="20"/>
        </w:rPr>
      </w:pPr>
      <w:r w:rsidRPr="001031B5">
        <w:rPr>
          <w:rFonts w:ascii="Times New Roman" w:hAnsi="Times New Roman"/>
          <w:i/>
          <w:noProof/>
          <w:sz w:val="20"/>
          <w:szCs w:val="20"/>
          <w:lang w:bidi="ar-SA"/>
        </w:rPr>
        <w:t xml:space="preserve">*Corresponding author: </w:t>
      </w:r>
      <w:r w:rsidRPr="001031B5">
        <w:rPr>
          <w:rFonts w:ascii="Times New Roman" w:hAnsi="Times New Roman"/>
          <w:i/>
          <w:sz w:val="20"/>
          <w:szCs w:val="20"/>
        </w:rPr>
        <w:t>masturahmarkom@ukm.edu.my</w:t>
      </w:r>
    </w:p>
    <w:p w:rsidR="001031B5" w:rsidRPr="001031B5" w:rsidRDefault="001031B5" w:rsidP="001031B5">
      <w:pPr>
        <w:spacing w:after="0" w:line="240" w:lineRule="auto"/>
        <w:jc w:val="center"/>
        <w:rPr>
          <w:rFonts w:ascii="Times New Roman" w:hAnsi="Times New Roman"/>
          <w:noProof/>
          <w:sz w:val="20"/>
          <w:szCs w:val="20"/>
          <w:lang w:bidi="ar-SA"/>
        </w:rPr>
      </w:pPr>
    </w:p>
    <w:p w:rsidR="001031B5" w:rsidRPr="001031B5" w:rsidRDefault="001031B5" w:rsidP="001031B5">
      <w:pPr>
        <w:spacing w:after="0" w:line="240" w:lineRule="auto"/>
        <w:jc w:val="center"/>
        <w:rPr>
          <w:rFonts w:ascii="Times New Roman" w:hAnsi="Times New Roman"/>
          <w:noProof/>
          <w:sz w:val="20"/>
          <w:szCs w:val="20"/>
          <w:lang w:bidi="ar-SA"/>
        </w:rPr>
      </w:pPr>
    </w:p>
    <w:p w:rsidR="001031B5" w:rsidRPr="001031B5" w:rsidRDefault="001031B5" w:rsidP="001031B5">
      <w:pPr>
        <w:spacing w:after="0" w:line="240" w:lineRule="auto"/>
        <w:jc w:val="center"/>
        <w:rPr>
          <w:rFonts w:ascii="Times New Roman" w:hAnsi="Times New Roman"/>
          <w:noProof/>
          <w:sz w:val="20"/>
          <w:szCs w:val="20"/>
          <w:lang w:bidi="ar-SA"/>
        </w:rPr>
      </w:pPr>
      <w:r w:rsidRPr="001031B5">
        <w:rPr>
          <w:rFonts w:ascii="Times New Roman" w:hAnsi="Times New Roman"/>
          <w:noProof/>
          <w:sz w:val="20"/>
          <w:szCs w:val="20"/>
          <w:lang w:bidi="ar-SA"/>
        </w:rPr>
        <w:t>Received: 21 October 2015; Accepted: 14 June 2016</w:t>
      </w:r>
    </w:p>
    <w:p w:rsidR="001031B5" w:rsidRPr="001031B5" w:rsidRDefault="001031B5" w:rsidP="001031B5">
      <w:pPr>
        <w:spacing w:after="0" w:line="240" w:lineRule="auto"/>
        <w:jc w:val="center"/>
        <w:rPr>
          <w:rFonts w:ascii="Times New Roman" w:hAnsi="Times New Roman"/>
          <w:noProof/>
          <w:sz w:val="20"/>
          <w:szCs w:val="20"/>
          <w:lang w:bidi="ar-SA"/>
        </w:rPr>
      </w:pPr>
    </w:p>
    <w:p w:rsidR="001031B5" w:rsidRPr="001031B5" w:rsidRDefault="001031B5" w:rsidP="001031B5">
      <w:pPr>
        <w:spacing w:after="0" w:line="240" w:lineRule="auto"/>
        <w:jc w:val="center"/>
        <w:rPr>
          <w:rFonts w:ascii="Times New Roman" w:hAnsi="Times New Roman"/>
          <w:noProof/>
          <w:sz w:val="20"/>
          <w:szCs w:val="20"/>
          <w:lang w:bidi="ar-SA"/>
        </w:rPr>
      </w:pPr>
    </w:p>
    <w:p w:rsidR="001031B5" w:rsidRPr="001031B5" w:rsidRDefault="001031B5" w:rsidP="001031B5">
      <w:pPr>
        <w:spacing w:after="0" w:line="240" w:lineRule="auto"/>
        <w:jc w:val="center"/>
        <w:rPr>
          <w:rFonts w:ascii="Times New Roman" w:hAnsi="Times New Roman"/>
          <w:b/>
          <w:noProof/>
          <w:sz w:val="20"/>
          <w:szCs w:val="20"/>
          <w:lang w:bidi="ar-SA"/>
        </w:rPr>
      </w:pPr>
      <w:r w:rsidRPr="001031B5">
        <w:rPr>
          <w:rFonts w:ascii="Times New Roman" w:hAnsi="Times New Roman"/>
          <w:b/>
          <w:noProof/>
          <w:sz w:val="20"/>
          <w:szCs w:val="20"/>
          <w:lang w:bidi="ar-SA"/>
        </w:rPr>
        <w:t>Abstract</w:t>
      </w:r>
    </w:p>
    <w:p w:rsidR="001031B5" w:rsidRPr="001031B5" w:rsidRDefault="001031B5" w:rsidP="001031B5">
      <w:pPr>
        <w:spacing w:after="0" w:line="240" w:lineRule="auto"/>
        <w:jc w:val="both"/>
        <w:outlineLvl w:val="0"/>
        <w:rPr>
          <w:rFonts w:ascii="Times New Roman" w:hAnsi="Times New Roman"/>
          <w:sz w:val="20"/>
          <w:szCs w:val="20"/>
        </w:rPr>
      </w:pPr>
      <w:r w:rsidRPr="001031B5">
        <w:rPr>
          <w:rFonts w:ascii="Times New Roman" w:hAnsi="Times New Roman"/>
          <w:sz w:val="20"/>
          <w:szCs w:val="20"/>
        </w:rPr>
        <w:t>In this study, a pretreatment of empty fruit bunch (EFB) using supercritical carbon dioxide (SC-CO</w:t>
      </w:r>
      <w:r w:rsidRPr="001031B5">
        <w:rPr>
          <w:rFonts w:ascii="Times New Roman" w:hAnsi="Times New Roman"/>
          <w:sz w:val="20"/>
          <w:szCs w:val="20"/>
          <w:vertAlign w:val="subscript"/>
        </w:rPr>
        <w:t>2</w:t>
      </w:r>
      <w:r w:rsidRPr="001031B5">
        <w:rPr>
          <w:rFonts w:ascii="Times New Roman" w:hAnsi="Times New Roman"/>
          <w:sz w:val="20"/>
          <w:szCs w:val="20"/>
        </w:rPr>
        <w:t>), acid and alkaline were investigated for glucose yield from enzymatic hydrolysis. The chemical composition, X-ray diffraction (XRD) and Scanning Electron Microscopy (SEM) analysis of EFB before and after pretreatment were determined. From this study, the chemical composition of EFB (% g/g dry biomass) before pretreatment for cellulose, hemicellulose and Klason lignin were recorded as 36.7%, 22.8%, and 24.2%, respectively. After pretreatment, the highest cellulose composition was obtained from EFB treated with alkaline followed by acid and SC-CO</w:t>
      </w:r>
      <w:r w:rsidRPr="001031B5">
        <w:rPr>
          <w:rFonts w:ascii="Times New Roman" w:hAnsi="Times New Roman"/>
          <w:sz w:val="20"/>
          <w:szCs w:val="20"/>
          <w:vertAlign w:val="subscript"/>
        </w:rPr>
        <w:t>2</w:t>
      </w:r>
      <w:r w:rsidRPr="001031B5">
        <w:rPr>
          <w:rFonts w:ascii="Times New Roman" w:hAnsi="Times New Roman"/>
          <w:sz w:val="20"/>
          <w:szCs w:val="20"/>
        </w:rPr>
        <w:t xml:space="preserve"> which gave the results of 48.5%, 47.7% and 38% respectively. The glucose yield after enzymatic hydrolysis for untreated EFB was 17% (w/w). After pretreatment, the glucose yield increased to 84.4%, 34% and 24% for alkaline, acid and SC-CO</w:t>
      </w:r>
      <w:r w:rsidRPr="001031B5">
        <w:rPr>
          <w:rFonts w:ascii="Times New Roman" w:hAnsi="Times New Roman"/>
          <w:sz w:val="20"/>
          <w:szCs w:val="20"/>
          <w:vertAlign w:val="subscript"/>
        </w:rPr>
        <w:t>2</w:t>
      </w:r>
      <w:r w:rsidRPr="001031B5">
        <w:rPr>
          <w:rFonts w:ascii="Times New Roman" w:hAnsi="Times New Roman"/>
          <w:sz w:val="20"/>
          <w:szCs w:val="20"/>
        </w:rPr>
        <w:t xml:space="preserve"> of the treated EFB, respectively. Other than that, XRD analysis showed increase in the crystallinity index after each pretreatment. Morphology analysis showed the surface of the treated EFB looked swollen and ruptured as compared with the surface of the untreated EFB. Between the three pretreatments, alkaline pretreatment gives the highest cellulose composition and glucose yield. Thus, it shows that alkaline pretreatment was the best pretreatment method on EFB compared to acid and SC-CO</w:t>
      </w:r>
      <w:r w:rsidRPr="001031B5">
        <w:rPr>
          <w:rFonts w:ascii="Times New Roman" w:hAnsi="Times New Roman"/>
          <w:sz w:val="20"/>
          <w:szCs w:val="20"/>
          <w:vertAlign w:val="subscript"/>
        </w:rPr>
        <w:t>2</w:t>
      </w:r>
      <w:r w:rsidRPr="001031B5">
        <w:rPr>
          <w:rFonts w:ascii="Times New Roman" w:hAnsi="Times New Roman"/>
          <w:sz w:val="20"/>
          <w:szCs w:val="20"/>
        </w:rPr>
        <w:t xml:space="preserve"> pretreatments.</w:t>
      </w:r>
    </w:p>
    <w:p w:rsidR="001031B5" w:rsidRPr="001031B5" w:rsidRDefault="001031B5" w:rsidP="001031B5">
      <w:pPr>
        <w:spacing w:after="0" w:line="240" w:lineRule="auto"/>
        <w:jc w:val="both"/>
        <w:outlineLvl w:val="0"/>
        <w:rPr>
          <w:rFonts w:ascii="Times New Roman" w:hAnsi="Times New Roman"/>
          <w:sz w:val="20"/>
          <w:szCs w:val="20"/>
        </w:rPr>
      </w:pPr>
    </w:p>
    <w:p w:rsidR="001031B5" w:rsidRPr="001031B5" w:rsidRDefault="001031B5" w:rsidP="001031B5">
      <w:pPr>
        <w:spacing w:after="0" w:line="240" w:lineRule="auto"/>
        <w:jc w:val="both"/>
        <w:outlineLvl w:val="0"/>
        <w:rPr>
          <w:rFonts w:ascii="Times New Roman" w:hAnsi="Times New Roman"/>
          <w:color w:val="548DD4"/>
          <w:sz w:val="20"/>
          <w:szCs w:val="20"/>
        </w:rPr>
      </w:pPr>
      <w:r w:rsidRPr="001031B5">
        <w:rPr>
          <w:rFonts w:ascii="Times New Roman" w:hAnsi="Times New Roman"/>
          <w:b/>
          <w:sz w:val="20"/>
          <w:szCs w:val="20"/>
        </w:rPr>
        <w:t>Keywords</w:t>
      </w:r>
      <w:r w:rsidRPr="001031B5">
        <w:rPr>
          <w:rFonts w:ascii="Times New Roman" w:hAnsi="Times New Roman"/>
          <w:sz w:val="20"/>
          <w:szCs w:val="20"/>
        </w:rPr>
        <w:t>:  empty fruit bunches, enzymatic hydrolysis, pretreatment, glucose</w:t>
      </w:r>
    </w:p>
    <w:p w:rsidR="001031B5" w:rsidRPr="001031B5" w:rsidRDefault="001031B5" w:rsidP="001031B5">
      <w:pPr>
        <w:spacing w:after="0" w:line="240" w:lineRule="auto"/>
        <w:jc w:val="center"/>
        <w:outlineLvl w:val="0"/>
        <w:rPr>
          <w:rFonts w:ascii="Times New Roman" w:hAnsi="Times New Roman"/>
          <w:b/>
          <w:color w:val="548DD4"/>
          <w:sz w:val="20"/>
          <w:szCs w:val="20"/>
        </w:rPr>
      </w:pPr>
    </w:p>
    <w:p w:rsidR="001031B5" w:rsidRPr="001031B5" w:rsidRDefault="001031B5" w:rsidP="001031B5">
      <w:pPr>
        <w:spacing w:after="0" w:line="240" w:lineRule="auto"/>
        <w:jc w:val="center"/>
        <w:outlineLvl w:val="0"/>
        <w:rPr>
          <w:rFonts w:ascii="Times New Roman" w:hAnsi="Times New Roman"/>
          <w:b/>
          <w:noProof/>
          <w:sz w:val="20"/>
          <w:szCs w:val="20"/>
        </w:rPr>
      </w:pPr>
      <w:r w:rsidRPr="001031B5">
        <w:rPr>
          <w:rFonts w:ascii="Times New Roman" w:hAnsi="Times New Roman"/>
          <w:b/>
          <w:noProof/>
          <w:sz w:val="20"/>
          <w:szCs w:val="20"/>
        </w:rPr>
        <w:t>Abstrak</w:t>
      </w:r>
    </w:p>
    <w:p w:rsidR="001031B5" w:rsidRPr="001031B5" w:rsidRDefault="001031B5" w:rsidP="001031B5">
      <w:pPr>
        <w:spacing w:after="0" w:line="240" w:lineRule="auto"/>
        <w:jc w:val="both"/>
        <w:outlineLvl w:val="0"/>
        <w:rPr>
          <w:rFonts w:ascii="Times New Roman" w:hAnsi="Times New Roman"/>
          <w:noProof/>
          <w:sz w:val="20"/>
          <w:szCs w:val="20"/>
        </w:rPr>
      </w:pPr>
      <w:r w:rsidRPr="001031B5">
        <w:rPr>
          <w:rFonts w:ascii="Times New Roman" w:hAnsi="Times New Roman"/>
          <w:noProof/>
          <w:sz w:val="20"/>
          <w:szCs w:val="20"/>
        </w:rPr>
        <w:t>Melalui kajian ini prarawatan tandan buah kosong (TKKS) menggunakan kaedah supergenting karbon dioksida (SC-CO</w:t>
      </w:r>
      <w:r w:rsidRPr="001031B5">
        <w:rPr>
          <w:rFonts w:ascii="Times New Roman" w:hAnsi="Times New Roman"/>
          <w:noProof/>
          <w:sz w:val="20"/>
          <w:szCs w:val="20"/>
          <w:vertAlign w:val="subscript"/>
        </w:rPr>
        <w:t>2</w:t>
      </w:r>
      <w:r w:rsidRPr="001031B5">
        <w:rPr>
          <w:rFonts w:ascii="Times New Roman" w:hAnsi="Times New Roman"/>
          <w:noProof/>
          <w:sz w:val="20"/>
          <w:szCs w:val="20"/>
        </w:rPr>
        <w:t xml:space="preserve">), asid dan alkali telah dilakukan untuk mendapatkan hasil glukosa daripada hidrolisis </w:t>
      </w:r>
      <w:r w:rsidR="00F643CB">
        <w:rPr>
          <w:rFonts w:ascii="Times New Roman" w:hAnsi="Times New Roman"/>
          <w:noProof/>
          <w:sz w:val="20"/>
          <w:szCs w:val="20"/>
        </w:rPr>
        <w:t>ber</w:t>
      </w:r>
      <w:r w:rsidRPr="001031B5">
        <w:rPr>
          <w:rFonts w:ascii="Times New Roman" w:hAnsi="Times New Roman"/>
          <w:noProof/>
          <w:sz w:val="20"/>
          <w:szCs w:val="20"/>
        </w:rPr>
        <w:t>enzim. Analisis komposisi kimia, pembelauan sinar-X (XRD) dan mikroskopi pemgimbasan elektron (SEM) terhadap TKKS sebelum dan selepas prarawatan telah ditentukan. Dari kajian ini komposisi kimia TKKS (% g/g biomas kering) sebelum prarawatan bagi selulosa, hemiselulosa dan lignin ialah 36.7%, 22.8%, and 24.2%. Selepas prarawatan, komposisi selulosa yang paling tinggi diperolehi daripada TKKS terawat dengan prarawatan alkali diikuti dengan prarawatan asid dan SC-CO</w:t>
      </w:r>
      <w:r w:rsidRPr="001031B5">
        <w:rPr>
          <w:rFonts w:ascii="Times New Roman" w:hAnsi="Times New Roman"/>
          <w:noProof/>
          <w:sz w:val="20"/>
          <w:szCs w:val="20"/>
          <w:vertAlign w:val="subscript"/>
        </w:rPr>
        <w:t>2</w:t>
      </w:r>
      <w:r w:rsidRPr="001031B5">
        <w:rPr>
          <w:rFonts w:ascii="Times New Roman" w:hAnsi="Times New Roman"/>
          <w:noProof/>
          <w:sz w:val="20"/>
          <w:szCs w:val="20"/>
        </w:rPr>
        <w:t xml:space="preserve"> iaitu 48.5%, 47.7% dan 38%. Hasil glukosa selepas hidrolisis </w:t>
      </w:r>
      <w:r w:rsidR="00F643CB">
        <w:rPr>
          <w:rFonts w:ascii="Times New Roman" w:hAnsi="Times New Roman"/>
          <w:noProof/>
          <w:sz w:val="20"/>
          <w:szCs w:val="20"/>
        </w:rPr>
        <w:t>ber</w:t>
      </w:r>
      <w:r w:rsidRPr="001031B5">
        <w:rPr>
          <w:rFonts w:ascii="Times New Roman" w:hAnsi="Times New Roman"/>
          <w:noProof/>
          <w:sz w:val="20"/>
          <w:szCs w:val="20"/>
        </w:rPr>
        <w:t>enzim bagi TKKS yang tidak terawat ialah 17% (w/w). Selepas prarawatan, hasil glukosa telah meningkat kepada 84.4%, 34% dan 24% bagi prarawatan alkali, asid dan SC-CO</w:t>
      </w:r>
      <w:r w:rsidRPr="001031B5">
        <w:rPr>
          <w:rFonts w:ascii="Times New Roman" w:hAnsi="Times New Roman"/>
          <w:noProof/>
          <w:sz w:val="20"/>
          <w:szCs w:val="20"/>
          <w:vertAlign w:val="subscript"/>
        </w:rPr>
        <w:t>2</w:t>
      </w:r>
      <w:r w:rsidRPr="001031B5">
        <w:rPr>
          <w:rFonts w:ascii="Times New Roman" w:hAnsi="Times New Roman"/>
          <w:noProof/>
          <w:sz w:val="20"/>
          <w:szCs w:val="20"/>
        </w:rPr>
        <w:t xml:space="preserve">. Selain daripada itu, analisis XRD menunjukkan peningkatan indeks penghabluran terhadap TKKS terawat. Analisis morfologi menunjukkan perubahan pada permukaan TKKS terawat dimana ia kelihatan bengkak dan pecah berbanding dengan permukaan TKKS yang tidak terawat. Antara ketiga-tiga </w:t>
      </w:r>
      <w:r w:rsidRPr="001031B5">
        <w:rPr>
          <w:rFonts w:ascii="Times New Roman" w:hAnsi="Times New Roman"/>
          <w:noProof/>
          <w:sz w:val="20"/>
          <w:szCs w:val="20"/>
        </w:rPr>
        <w:lastRenderedPageBreak/>
        <w:t>kaedah prarawatan, prarawatan alkali memberikan komposisi selulosa dan hasil glukosa yang paling tinggi. Oleh itu, kajian ini menunjukkan bahawa prarawatan alkali adalah kaedah prarawatan terbaik terhadap TKKS berbanding prarawatan asid dan SC-CO</w:t>
      </w:r>
      <w:r w:rsidRPr="001031B5">
        <w:rPr>
          <w:rFonts w:ascii="Times New Roman" w:hAnsi="Times New Roman"/>
          <w:noProof/>
          <w:sz w:val="20"/>
          <w:szCs w:val="20"/>
          <w:vertAlign w:val="subscript"/>
        </w:rPr>
        <w:t>2</w:t>
      </w:r>
      <w:r w:rsidRPr="001031B5">
        <w:rPr>
          <w:rFonts w:ascii="Times New Roman" w:hAnsi="Times New Roman"/>
          <w:noProof/>
          <w:sz w:val="20"/>
          <w:szCs w:val="20"/>
        </w:rPr>
        <w:t>.</w:t>
      </w:r>
    </w:p>
    <w:p w:rsidR="001031B5" w:rsidRPr="001031B5" w:rsidRDefault="001031B5" w:rsidP="001031B5">
      <w:pPr>
        <w:spacing w:after="0" w:line="240" w:lineRule="auto"/>
        <w:jc w:val="both"/>
        <w:outlineLvl w:val="0"/>
        <w:rPr>
          <w:rFonts w:ascii="Times New Roman" w:hAnsi="Times New Roman"/>
          <w:noProof/>
          <w:sz w:val="20"/>
          <w:szCs w:val="20"/>
        </w:rPr>
      </w:pPr>
    </w:p>
    <w:p w:rsidR="001A3D49" w:rsidRDefault="001031B5" w:rsidP="001031B5">
      <w:pPr>
        <w:spacing w:after="0" w:line="240" w:lineRule="auto"/>
        <w:jc w:val="both"/>
        <w:outlineLvl w:val="0"/>
        <w:rPr>
          <w:rFonts w:ascii="Times New Roman" w:hAnsi="Times New Roman"/>
          <w:noProof/>
          <w:sz w:val="20"/>
          <w:szCs w:val="20"/>
        </w:rPr>
      </w:pPr>
      <w:r w:rsidRPr="001031B5">
        <w:rPr>
          <w:rFonts w:ascii="Times New Roman" w:hAnsi="Times New Roman"/>
          <w:b/>
          <w:noProof/>
          <w:sz w:val="20"/>
          <w:szCs w:val="20"/>
        </w:rPr>
        <w:t xml:space="preserve">Kata kunci:  </w:t>
      </w:r>
      <w:r w:rsidRPr="001031B5">
        <w:rPr>
          <w:rFonts w:ascii="Times New Roman" w:hAnsi="Times New Roman"/>
          <w:noProof/>
          <w:sz w:val="20"/>
          <w:szCs w:val="20"/>
        </w:rPr>
        <w:t xml:space="preserve">tandan kosong kelapa sawit, hidrolisis </w:t>
      </w:r>
      <w:r w:rsidR="00F643CB">
        <w:rPr>
          <w:rFonts w:ascii="Times New Roman" w:hAnsi="Times New Roman"/>
          <w:noProof/>
          <w:sz w:val="20"/>
          <w:szCs w:val="20"/>
        </w:rPr>
        <w:t>ber</w:t>
      </w:r>
      <w:bookmarkStart w:id="0" w:name="_GoBack"/>
      <w:bookmarkEnd w:id="0"/>
      <w:r w:rsidRPr="001031B5">
        <w:rPr>
          <w:rFonts w:ascii="Times New Roman" w:hAnsi="Times New Roman"/>
          <w:noProof/>
          <w:sz w:val="20"/>
          <w:szCs w:val="20"/>
        </w:rPr>
        <w:t>enzim, prarawatan, glukosa</w:t>
      </w:r>
    </w:p>
    <w:p w:rsidR="001031B5" w:rsidRDefault="001031B5" w:rsidP="001031B5">
      <w:pPr>
        <w:spacing w:after="0" w:line="240" w:lineRule="auto"/>
        <w:jc w:val="both"/>
        <w:outlineLvl w:val="0"/>
        <w:rPr>
          <w:rFonts w:ascii="Times New Roman" w:hAnsi="Times New Roman"/>
          <w:noProof/>
          <w:sz w:val="20"/>
          <w:szCs w:val="20"/>
        </w:rPr>
      </w:pPr>
    </w:p>
    <w:p w:rsidR="001031B5" w:rsidRPr="00F447A7" w:rsidRDefault="001031B5" w:rsidP="001031B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Shuit, S. H., Tan, K. T., Lee, K. T. and Kamaruddin, A. H. (2009). Oil palm biomass as a sustainable energy source: A Malaysian case study. </w:t>
      </w:r>
      <w:r w:rsidRPr="003B070C">
        <w:rPr>
          <w:rFonts w:ascii="Times New Roman" w:hAnsi="Times New Roman"/>
          <w:i/>
          <w:sz w:val="20"/>
          <w:szCs w:val="20"/>
        </w:rPr>
        <w:t>Energy,</w:t>
      </w:r>
      <w:r w:rsidRPr="003B070C">
        <w:rPr>
          <w:rFonts w:ascii="Times New Roman" w:hAnsi="Times New Roman"/>
          <w:sz w:val="20"/>
          <w:szCs w:val="20"/>
        </w:rPr>
        <w:t xml:space="preserve"> 34(9): 1225 – 1235.</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Shamsudin, S., Md Shah, U. K., Zainudin, H., Abd-Aziz, S., Mustapa Kamal, S. M., Shirai, Y. and Hassan, M. A. (2012). Effect of steam pretreatment on oil palm empty fruit bunch for the production of sugars. </w:t>
      </w:r>
      <w:r w:rsidRPr="003B070C">
        <w:rPr>
          <w:rFonts w:ascii="Times New Roman" w:hAnsi="Times New Roman"/>
          <w:i/>
          <w:sz w:val="20"/>
          <w:szCs w:val="20"/>
        </w:rPr>
        <w:t>Biomass and Bioenergy,</w:t>
      </w:r>
      <w:r w:rsidRPr="003B070C">
        <w:rPr>
          <w:rFonts w:ascii="Times New Roman" w:hAnsi="Times New Roman"/>
          <w:sz w:val="20"/>
          <w:szCs w:val="20"/>
        </w:rPr>
        <w:t xml:space="preserve"> 36: 280 – 288.</w:t>
      </w:r>
    </w:p>
    <w:p w:rsidR="001031B5" w:rsidRPr="00B15E8D"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Yaakob, M. Y., Hasoloan, H. I. P., Yahaya, S. H. and Said, M. R. (2012). Solid fuel from empty fruit bunch fiber and waste papers part 3: ash content from combustion test. </w:t>
      </w:r>
      <w:r w:rsidRPr="003B070C">
        <w:rPr>
          <w:rFonts w:ascii="Times New Roman" w:hAnsi="Times New Roman"/>
          <w:i/>
          <w:sz w:val="20"/>
          <w:szCs w:val="20"/>
        </w:rPr>
        <w:t>Global Engineers &amp; Technologists Review</w:t>
      </w:r>
      <w:r w:rsidRPr="003B070C">
        <w:rPr>
          <w:rFonts w:ascii="Times New Roman" w:hAnsi="Times New Roman"/>
          <w:sz w:val="20"/>
          <w:szCs w:val="20"/>
        </w:rPr>
        <w:t>, 2(3): 26 – 32.</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Ariffin, H., Hassan, M. A., Kalsom, M. S. U., Abdullah, N. and Shirai, Y. (2008). Effect of physical, chemical and thermal pretreatments on the enzymatic hydrolysis of oil palm empty fruit bunch (OPEFB). </w:t>
      </w:r>
      <w:r w:rsidRPr="003B070C">
        <w:rPr>
          <w:rFonts w:ascii="Times New Roman" w:hAnsi="Times New Roman"/>
          <w:i/>
          <w:sz w:val="20"/>
          <w:szCs w:val="20"/>
        </w:rPr>
        <w:t>Journal of Tropical Agriculture and Food Sciences,</w:t>
      </w:r>
      <w:r w:rsidRPr="003B070C">
        <w:rPr>
          <w:rFonts w:ascii="Times New Roman" w:hAnsi="Times New Roman"/>
          <w:sz w:val="20"/>
          <w:szCs w:val="20"/>
        </w:rPr>
        <w:t xml:space="preserve"> 36(2): 259 – 268.</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Zheng, Y., Pan, Z. and Zhang, R. (2009). Overview of biomass pretreatment for cellulosic ethanol production. </w:t>
      </w:r>
      <w:r w:rsidRPr="003B070C">
        <w:rPr>
          <w:rFonts w:ascii="Times New Roman" w:hAnsi="Times New Roman"/>
          <w:i/>
          <w:sz w:val="20"/>
          <w:szCs w:val="20"/>
        </w:rPr>
        <w:t>International Journal of Agricultural and Biological Engineering,</w:t>
      </w:r>
      <w:r w:rsidRPr="003B070C">
        <w:rPr>
          <w:rFonts w:ascii="Times New Roman" w:hAnsi="Times New Roman"/>
          <w:sz w:val="20"/>
          <w:szCs w:val="20"/>
        </w:rPr>
        <w:t xml:space="preserve"> 2: 51 – 69.</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Taherzadeh, M. J. and Karimi, K. (2008). Pretreatment of lignocellulosic wastes to improve ethanol and biogas production: A review. </w:t>
      </w:r>
      <w:r w:rsidRPr="003B070C">
        <w:rPr>
          <w:rFonts w:ascii="Times New Roman" w:hAnsi="Times New Roman"/>
          <w:i/>
          <w:sz w:val="20"/>
          <w:szCs w:val="20"/>
        </w:rPr>
        <w:t>International Journal of Molecular Sciences,</w:t>
      </w:r>
      <w:r w:rsidRPr="003B070C">
        <w:rPr>
          <w:rFonts w:ascii="Times New Roman" w:hAnsi="Times New Roman"/>
          <w:sz w:val="20"/>
          <w:szCs w:val="20"/>
        </w:rPr>
        <w:t xml:space="preserve"> 9: 1621 – 1651.</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Misson, M., Haron, R., Ahmad, M. F., Aishah, N. O. R. and Amin, S. (2009). Pretreatment of empty palm fruit bunch for lignin degradation. </w:t>
      </w:r>
      <w:r w:rsidRPr="003B070C">
        <w:rPr>
          <w:rFonts w:ascii="Times New Roman" w:hAnsi="Times New Roman"/>
          <w:i/>
          <w:sz w:val="20"/>
          <w:szCs w:val="20"/>
        </w:rPr>
        <w:t>Jurnal Teknologi,</w:t>
      </w:r>
      <w:r w:rsidRPr="003B070C">
        <w:rPr>
          <w:rFonts w:ascii="Times New Roman" w:hAnsi="Times New Roman"/>
          <w:sz w:val="20"/>
          <w:szCs w:val="20"/>
        </w:rPr>
        <w:t xml:space="preserve"> 50: 89 – 98.</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Chong, P. S., Jahim, J. M., Harun, S., Lim, S. S., Mutalib, S. A., Hassan, O. and Nor, M. T. M. (2013). Enhancement of batch biohydrogen production from prehydrolysate of acid treated oil palm empty fruit bunch. </w:t>
      </w:r>
      <w:r w:rsidRPr="003B070C">
        <w:rPr>
          <w:rFonts w:ascii="Times New Roman" w:hAnsi="Times New Roman"/>
          <w:i/>
          <w:sz w:val="20"/>
          <w:szCs w:val="20"/>
        </w:rPr>
        <w:t xml:space="preserve">International Journal of Hydrogen Energy, </w:t>
      </w:r>
      <w:r w:rsidRPr="003B070C">
        <w:rPr>
          <w:rFonts w:ascii="Times New Roman" w:hAnsi="Times New Roman"/>
          <w:sz w:val="20"/>
          <w:szCs w:val="20"/>
        </w:rPr>
        <w:t>38: 9592 – 9599.</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Varga, E., Schmidt, A. S., Réczey, K. and Thomsen, A. B. (2003). Pretreatment of corn stover using wet oxidation to enhance enzymatic digestibility. </w:t>
      </w:r>
      <w:r w:rsidRPr="003B070C">
        <w:rPr>
          <w:rFonts w:ascii="Times New Roman" w:hAnsi="Times New Roman"/>
          <w:i/>
          <w:sz w:val="20"/>
          <w:szCs w:val="20"/>
        </w:rPr>
        <w:t>Applied Biochemistry and Biotechnology,</w:t>
      </w:r>
      <w:r w:rsidRPr="003B070C">
        <w:rPr>
          <w:rFonts w:ascii="Times New Roman" w:hAnsi="Times New Roman"/>
          <w:sz w:val="20"/>
          <w:szCs w:val="20"/>
        </w:rPr>
        <w:t xml:space="preserve"> 104: 37 – 50.</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Lü, H., Ren, M., Zhang, M. and Chen, Y. (2013). Pretreatment of corn stover using supercritical CO</w:t>
      </w:r>
      <w:r w:rsidRPr="003B070C">
        <w:rPr>
          <w:rFonts w:ascii="Times New Roman" w:hAnsi="Times New Roman"/>
          <w:sz w:val="20"/>
          <w:szCs w:val="20"/>
          <w:vertAlign w:val="subscript"/>
        </w:rPr>
        <w:t xml:space="preserve">2 </w:t>
      </w:r>
      <w:r w:rsidRPr="003B070C">
        <w:rPr>
          <w:rFonts w:ascii="Times New Roman" w:hAnsi="Times New Roman"/>
          <w:sz w:val="20"/>
          <w:szCs w:val="20"/>
        </w:rPr>
        <w:t>with water-ethanol as co-solvent</w:t>
      </w:r>
      <w:r w:rsidRPr="003B070C">
        <w:rPr>
          <w:rFonts w:ascii="Times New Roman" w:hAnsi="Times New Roman"/>
          <w:i/>
          <w:sz w:val="20"/>
          <w:szCs w:val="20"/>
        </w:rPr>
        <w:t xml:space="preserve">. Chinese Journal of Chemical Engineering, </w:t>
      </w:r>
      <w:r w:rsidRPr="003B070C">
        <w:rPr>
          <w:rFonts w:ascii="Times New Roman" w:hAnsi="Times New Roman"/>
          <w:sz w:val="20"/>
          <w:szCs w:val="20"/>
        </w:rPr>
        <w:t xml:space="preserve">21(5): 551 – 557. </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Yin, J., Hao, L., Yu, W., Wang, E., Zhao, M., Xu, Q. and Liu, Y. (2014). Enzymatic hydrolysis enhancement of corn lignocellulose by supercritical CO</w:t>
      </w:r>
      <w:r w:rsidRPr="003B070C">
        <w:rPr>
          <w:rFonts w:ascii="Times New Roman" w:hAnsi="Times New Roman"/>
          <w:sz w:val="20"/>
          <w:szCs w:val="20"/>
          <w:vertAlign w:val="subscript"/>
        </w:rPr>
        <w:t>2</w:t>
      </w:r>
      <w:r w:rsidRPr="003B070C">
        <w:rPr>
          <w:rFonts w:ascii="Times New Roman" w:hAnsi="Times New Roman"/>
          <w:sz w:val="20"/>
          <w:szCs w:val="20"/>
        </w:rPr>
        <w:t xml:space="preserve"> combined with ultrasound pretreatment. </w:t>
      </w:r>
      <w:r w:rsidRPr="003B070C">
        <w:rPr>
          <w:rFonts w:ascii="Times New Roman" w:hAnsi="Times New Roman"/>
          <w:i/>
          <w:sz w:val="20"/>
          <w:szCs w:val="20"/>
        </w:rPr>
        <w:t xml:space="preserve">Chinese Journal of Catalysis, </w:t>
      </w:r>
      <w:r w:rsidRPr="003B070C">
        <w:rPr>
          <w:rFonts w:ascii="Times New Roman" w:hAnsi="Times New Roman"/>
          <w:sz w:val="20"/>
          <w:szCs w:val="20"/>
        </w:rPr>
        <w:t>35(5): 108 – 119.</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Narayanaswamy, N., Faik, A., Goetz, D. J. and Gu, T. (2011). Supercritical carbon dioxide pretreatment of corn stover and switchgrass for lignocellulosic ethanol production. </w:t>
      </w:r>
      <w:r w:rsidRPr="003B070C">
        <w:rPr>
          <w:rFonts w:ascii="Times New Roman" w:hAnsi="Times New Roman"/>
          <w:i/>
          <w:sz w:val="20"/>
          <w:szCs w:val="20"/>
        </w:rPr>
        <w:t xml:space="preserve">Bioresource Technology, </w:t>
      </w:r>
      <w:r w:rsidRPr="003B070C">
        <w:rPr>
          <w:rFonts w:ascii="Times New Roman" w:hAnsi="Times New Roman"/>
          <w:sz w:val="20"/>
          <w:szCs w:val="20"/>
        </w:rPr>
        <w:t>102(13): 6995 – 7000.</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Ying, T. Y., Teong, L. K., Abdullah, W. N. W. and Peng, L. C. (2014). The effect of various pretreatment methods on oil palm empty fruit bunch (EFB) and kenaf core fibers for sugar production. </w:t>
      </w:r>
      <w:r w:rsidRPr="003B070C">
        <w:rPr>
          <w:rFonts w:ascii="Times New Roman" w:hAnsi="Times New Roman"/>
          <w:i/>
          <w:sz w:val="20"/>
          <w:szCs w:val="20"/>
        </w:rPr>
        <w:t>Procedia Environmental Sciences,</w:t>
      </w:r>
      <w:r w:rsidRPr="003B070C">
        <w:rPr>
          <w:rFonts w:ascii="Times New Roman" w:hAnsi="Times New Roman"/>
          <w:sz w:val="20"/>
          <w:szCs w:val="20"/>
        </w:rPr>
        <w:t xml:space="preserve"> 20: 328 – 335.</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Iberahim, N. I., Jahim, J. M., Harun, S., Nor, M. T. M. and Hassan, O. (2013). Sodium hydroxide pretreatment and enzymatic hydrolysis of oil palm mesocarp fiber. </w:t>
      </w:r>
      <w:r w:rsidRPr="003B070C">
        <w:rPr>
          <w:rFonts w:ascii="Times New Roman" w:hAnsi="Times New Roman"/>
          <w:i/>
          <w:sz w:val="20"/>
          <w:szCs w:val="20"/>
        </w:rPr>
        <w:t>International Journal of Chemical Engineering and Applications</w:t>
      </w:r>
      <w:r w:rsidRPr="003B070C">
        <w:rPr>
          <w:rFonts w:ascii="Times New Roman" w:hAnsi="Times New Roman"/>
          <w:sz w:val="20"/>
          <w:szCs w:val="20"/>
        </w:rPr>
        <w:t>, 4(3): 101 – 105.</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Sluiter, A., Hames, B., Ruiz, R., Scarlata, C., Sluiter, J., Templeton, D. and Crocker, D. (2008). Determination of structural carbohydrates and lignin in biomass. Biomass analysis technology team laboratory analytical procedure.</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Srinivasan, N. and Ju, L.-K. (2012). Statistical optimization of operating conditions for supercritical carbon dioxide-based pretreatment of Guayule Bagasse. </w:t>
      </w:r>
      <w:r w:rsidRPr="003B070C">
        <w:rPr>
          <w:rFonts w:ascii="Times New Roman" w:hAnsi="Times New Roman"/>
          <w:i/>
          <w:sz w:val="20"/>
          <w:szCs w:val="20"/>
        </w:rPr>
        <w:t>Biomass and Bioenergy,</w:t>
      </w:r>
      <w:r w:rsidRPr="003B070C">
        <w:rPr>
          <w:rFonts w:ascii="Times New Roman" w:hAnsi="Times New Roman"/>
          <w:sz w:val="20"/>
          <w:szCs w:val="20"/>
        </w:rPr>
        <w:t xml:space="preserve"> 47: 451 – 458.</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Segal, L. G. J. M. A., Creely, J. J., Martin, A. E. and Conrad, C. M. (1959). An empirical method for estimating the degree of crystallinity of native cellulose using the X-ray diffractometer. </w:t>
      </w:r>
      <w:r w:rsidRPr="003B070C">
        <w:rPr>
          <w:rFonts w:ascii="Times New Roman" w:hAnsi="Times New Roman"/>
          <w:i/>
          <w:sz w:val="20"/>
          <w:szCs w:val="20"/>
        </w:rPr>
        <w:t>Textile Research Journal</w:t>
      </w:r>
      <w:r w:rsidRPr="003B070C">
        <w:rPr>
          <w:rFonts w:ascii="Times New Roman" w:hAnsi="Times New Roman"/>
          <w:sz w:val="20"/>
          <w:szCs w:val="20"/>
        </w:rPr>
        <w:t xml:space="preserve">, 29(10): 786 – 794. </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Xiao, L., Sun, Z., Shi, Z. and Xu, F. (2011). Impact of hot compressed water pretreatment on the structural changes of woody biomass for bioethanol production. </w:t>
      </w:r>
      <w:r w:rsidRPr="003B070C">
        <w:rPr>
          <w:rFonts w:ascii="Times New Roman" w:hAnsi="Times New Roman"/>
          <w:i/>
          <w:sz w:val="20"/>
          <w:szCs w:val="20"/>
        </w:rPr>
        <w:t>Bioresources,</w:t>
      </w:r>
      <w:r w:rsidRPr="003B070C">
        <w:rPr>
          <w:rFonts w:ascii="Times New Roman" w:hAnsi="Times New Roman"/>
          <w:sz w:val="20"/>
          <w:szCs w:val="20"/>
        </w:rPr>
        <w:t xml:space="preserve"> 6: 1576 – 1598.</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Kelly-Yong, T. L., Lee, K. T., Mohamed, A. R. and Bhatia, S. (2007). Potential of hydrogen from oil palm biomass as a source of renewable energy worldwide. </w:t>
      </w:r>
      <w:r w:rsidRPr="003B070C">
        <w:rPr>
          <w:rFonts w:ascii="Times New Roman" w:hAnsi="Times New Roman"/>
          <w:i/>
          <w:sz w:val="20"/>
          <w:szCs w:val="20"/>
        </w:rPr>
        <w:t>Energy Policy,</w:t>
      </w:r>
      <w:r w:rsidRPr="003B070C">
        <w:rPr>
          <w:rFonts w:ascii="Times New Roman" w:hAnsi="Times New Roman"/>
          <w:sz w:val="20"/>
          <w:szCs w:val="20"/>
        </w:rPr>
        <w:t xml:space="preserve"> 35: 5692 – 5701.</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Kim, K. H. and Hong, J. (2001). Supercritical CO</w:t>
      </w:r>
      <w:r w:rsidRPr="003B070C">
        <w:rPr>
          <w:rFonts w:ascii="Times New Roman" w:hAnsi="Times New Roman"/>
          <w:sz w:val="20"/>
          <w:szCs w:val="20"/>
          <w:vertAlign w:val="subscript"/>
        </w:rPr>
        <w:t>2</w:t>
      </w:r>
      <w:r w:rsidRPr="003B070C">
        <w:rPr>
          <w:rFonts w:ascii="Times New Roman" w:hAnsi="Times New Roman"/>
          <w:sz w:val="20"/>
          <w:szCs w:val="20"/>
        </w:rPr>
        <w:t xml:space="preserve"> pretreatment of lignocellulose enhances enzymatic cellulose hydrolysis. </w:t>
      </w:r>
      <w:r w:rsidRPr="003B070C">
        <w:rPr>
          <w:rFonts w:ascii="Times New Roman" w:hAnsi="Times New Roman"/>
          <w:i/>
          <w:sz w:val="20"/>
          <w:szCs w:val="20"/>
        </w:rPr>
        <w:t xml:space="preserve">Bioresource Technology, </w:t>
      </w:r>
      <w:r w:rsidRPr="003B070C">
        <w:rPr>
          <w:rFonts w:ascii="Times New Roman" w:hAnsi="Times New Roman"/>
          <w:sz w:val="20"/>
          <w:szCs w:val="20"/>
        </w:rPr>
        <w:t>77(2): 139 – 144.</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Singh, R., Shukla, A., Tiwari, S. and Srivastava, M. (2014). A review on delignification of lignocellulosic biomass for enhancement of ethanol production potential. </w:t>
      </w:r>
      <w:r w:rsidRPr="003B070C">
        <w:rPr>
          <w:rFonts w:ascii="Times New Roman" w:hAnsi="Times New Roman"/>
          <w:i/>
          <w:sz w:val="20"/>
          <w:szCs w:val="20"/>
        </w:rPr>
        <w:t xml:space="preserve">Renewable and Sustainable Energy Reviews, </w:t>
      </w:r>
      <w:r w:rsidRPr="003B070C">
        <w:rPr>
          <w:rFonts w:ascii="Times New Roman" w:hAnsi="Times New Roman"/>
          <w:sz w:val="20"/>
          <w:szCs w:val="20"/>
        </w:rPr>
        <w:t>32: 713 – 728.</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Xiao, B., Sun, X. and Sun, R. (2001). Chemical, structural, and thermal characterizations of alkali-soluble lignins and hemicelluloses, and cellulose from maize stems, rye straw, and rice straw. </w:t>
      </w:r>
      <w:r w:rsidRPr="003B070C">
        <w:rPr>
          <w:rFonts w:ascii="Times New Roman" w:hAnsi="Times New Roman"/>
          <w:i/>
          <w:sz w:val="20"/>
          <w:szCs w:val="20"/>
        </w:rPr>
        <w:t>Polymer Degradation and Stability,</w:t>
      </w:r>
      <w:r w:rsidRPr="003B070C">
        <w:rPr>
          <w:rFonts w:ascii="Times New Roman" w:hAnsi="Times New Roman"/>
          <w:sz w:val="20"/>
          <w:szCs w:val="20"/>
        </w:rPr>
        <w:t xml:space="preserve"> 74(2): 307 – 319.</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Park, S., Baker, J. O., Himmel, M. E., Parilla, P. A. and Johnson, D. K. (2010). Cellulose crystallinity index: Measurement techniques and their impact on interpreting cellulase performance. </w:t>
      </w:r>
      <w:r w:rsidRPr="003B070C">
        <w:rPr>
          <w:rFonts w:ascii="Times New Roman" w:hAnsi="Times New Roman"/>
          <w:i/>
          <w:sz w:val="20"/>
          <w:szCs w:val="20"/>
        </w:rPr>
        <w:t>Biotechnology for Biofuels,</w:t>
      </w:r>
      <w:r w:rsidRPr="003B070C">
        <w:rPr>
          <w:rFonts w:ascii="Times New Roman" w:hAnsi="Times New Roman"/>
          <w:sz w:val="20"/>
          <w:szCs w:val="20"/>
        </w:rPr>
        <w:t xml:space="preserve"> 3: 1 – 10.</w:t>
      </w:r>
    </w:p>
    <w:p w:rsidR="001031B5" w:rsidRPr="003B070C"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 xml:space="preserve">Hassan, O., Ling, T. P., Maskat, M. Y., Illias, R. M., Badri, K., Jahim, J. and Mahadi, N. M. (2013). Optimization of pretreatments for the hydrolysis of oil palm empty fruit bunch fiber (EFBF) using enzyme mixtures. </w:t>
      </w:r>
      <w:r w:rsidRPr="003B070C">
        <w:rPr>
          <w:rFonts w:ascii="Times New Roman" w:hAnsi="Times New Roman"/>
          <w:i/>
          <w:sz w:val="20"/>
          <w:szCs w:val="20"/>
        </w:rPr>
        <w:t>Biomass and Bioenergy,</w:t>
      </w:r>
      <w:r w:rsidRPr="003B070C">
        <w:rPr>
          <w:rFonts w:ascii="Times New Roman" w:hAnsi="Times New Roman"/>
          <w:sz w:val="20"/>
          <w:szCs w:val="20"/>
        </w:rPr>
        <w:t xml:space="preserve"> 56: 137 – 146.</w:t>
      </w:r>
    </w:p>
    <w:p w:rsidR="001031B5" w:rsidRDefault="001031B5" w:rsidP="001031B5">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3B070C">
        <w:rPr>
          <w:rFonts w:ascii="Times New Roman" w:hAnsi="Times New Roman"/>
          <w:sz w:val="20"/>
          <w:szCs w:val="20"/>
        </w:rPr>
        <w:t>Gao, M., Xu, F., Li, S., Ji, X., Chen, S. and Zhang, D. (2010). Effect of SC-CO</w:t>
      </w:r>
      <w:r w:rsidRPr="003B070C">
        <w:rPr>
          <w:rFonts w:ascii="Times New Roman" w:hAnsi="Times New Roman"/>
          <w:sz w:val="20"/>
          <w:szCs w:val="20"/>
          <w:vertAlign w:val="subscript"/>
        </w:rPr>
        <w:t xml:space="preserve">2 </w:t>
      </w:r>
      <w:r w:rsidRPr="003B070C">
        <w:rPr>
          <w:rFonts w:ascii="Times New Roman" w:hAnsi="Times New Roman"/>
          <w:sz w:val="20"/>
          <w:szCs w:val="20"/>
        </w:rPr>
        <w:t xml:space="preserve">pretreatment in increasing rice straw biomass conversion. </w:t>
      </w:r>
      <w:r w:rsidRPr="003B070C">
        <w:rPr>
          <w:rFonts w:ascii="Times New Roman" w:hAnsi="Times New Roman"/>
          <w:i/>
          <w:sz w:val="20"/>
          <w:szCs w:val="20"/>
        </w:rPr>
        <w:t>Biosystems Engineering,</w:t>
      </w:r>
      <w:r w:rsidRPr="003B070C">
        <w:rPr>
          <w:rFonts w:ascii="Times New Roman" w:hAnsi="Times New Roman"/>
          <w:sz w:val="20"/>
          <w:szCs w:val="20"/>
        </w:rPr>
        <w:t xml:space="preserve"> 106(4): 470 – 475.</w:t>
      </w:r>
    </w:p>
    <w:p w:rsidR="001031B5" w:rsidRPr="001031B5" w:rsidRDefault="001031B5" w:rsidP="001031B5">
      <w:pPr>
        <w:widowControl w:val="0"/>
        <w:autoSpaceDE w:val="0"/>
        <w:autoSpaceDN w:val="0"/>
        <w:spacing w:after="0" w:line="240" w:lineRule="auto"/>
        <w:jc w:val="both"/>
        <w:outlineLvl w:val="0"/>
        <w:rPr>
          <w:rFonts w:ascii="Times New Roman" w:hAnsi="Times New Roman"/>
          <w:sz w:val="20"/>
          <w:szCs w:val="20"/>
        </w:rPr>
      </w:pPr>
    </w:p>
    <w:sectPr w:rsidR="001031B5" w:rsidRPr="001031B5" w:rsidSect="001031B5">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770FF"/>
    <w:multiLevelType w:val="hybridMultilevel"/>
    <w:tmpl w:val="591C0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1B5"/>
    <w:rsid w:val="001031B5"/>
    <w:rsid w:val="001A3D49"/>
    <w:rsid w:val="00D0718B"/>
    <w:rsid w:val="00D40B1F"/>
    <w:rsid w:val="00F6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1B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1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1B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1377</Words>
  <Characters>7759</Characters>
  <Application>Microsoft Office Word</Application>
  <DocSecurity>0</DocSecurity>
  <Lines>127</Lines>
  <Paragraphs>42</Paragraphs>
  <ScaleCrop>false</ScaleCrop>
  <HeadingPairs>
    <vt:vector size="4" baseType="variant">
      <vt:variant>
        <vt:lpstr>Title</vt:lpstr>
      </vt:variant>
      <vt:variant>
        <vt:i4>1</vt:i4>
      </vt:variant>
      <vt:variant>
        <vt:lpstr>Headings</vt:lpstr>
      </vt:variant>
      <vt:variant>
        <vt:i4>48</vt:i4>
      </vt:variant>
    </vt:vector>
  </HeadingPairs>
  <TitlesOfParts>
    <vt:vector size="49" baseType="lpstr">
      <vt:lpstr/>
      <vt:lpstr>Malaysian Journal of Analytical Sciences Vol 20 No 6 (2016): 1474 - 1480</vt:lpstr>
      <vt:lpstr/>
      <vt:lpstr/>
      <vt:lpstr/>
      <vt:lpstr>THE EFFECT OF VARIOUS PRETREATMENT METHODS ON EMPTY FRUIT BUNCH FOR GLUCOSE PROD</vt:lpstr>
      <vt:lpstr/>
      <vt:lpstr>(Kesan Kaedah Prarawatan Berbeza Terhadap Tandan Kosong Kelapa Sawit Bagi Pengha</vt:lpstr>
      <vt:lpstr/>
      <vt:lpstr>Nurul Hazirah Che Hamzah1, Masturah Markom1*, Shuhaida Harun1, Osman Hassan2</vt:lpstr>
      <vt:lpstr>1Department of Chemical and Process Engineering, Faculty of Engineering and Buil</vt:lpstr>
      <vt:lpstr>2School of Chemical Sciences and Food Technology, Faculty of Science and Technol</vt:lpstr>
      <vt:lpstr>Universiti Kebangsaan Malaysia, 43600 UKM Bangi, Selangor, Malaysia</vt:lpstr>
      <vt:lpstr>*Corresponding author: masturahmarkom@ukm.edu.my</vt:lpstr>
      <vt:lpstr>In this study, a pretreatment of empty fruit bunch (EFB) using supercritical car</vt:lpstr>
      <vt:lpstr/>
      <vt:lpstr>Keywords:  empty fruit bunches, enzymatic hydrolysis, pretreatment, glucose</vt:lpstr>
      <vt:lpstr/>
      <vt:lpstr>Abstrak</vt:lpstr>
      <vt:lpstr>Melalui kajian ini prarawatan tandan buah kosong (TKKS) menggunakan kaedah super</vt:lpstr>
      <vt:lpstr/>
      <vt:lpstr>Kata kunci:  tandan kosong kelapa sawit, hidrolisis enzim, prarawatan, glukosa</vt:lpstr>
      <vt:lpstr/>
      <vt:lpstr>Shuit, S. H., Tan, K. T., Lee, K. T. and Kamaruddin, A. H. (2009). Oil palm biom</vt:lpstr>
      <vt:lpstr>Shamsudin, S., Md Shah, U. K., Zainudin, H., Abd-Aziz, S., Mustapa Kamal, S. M.,</vt:lpstr>
      <vt:lpstr>Yaakob, M. Y., Hasoloan, H. I. P., Yahaya, S. H. and Said, M. R. (2012). Solid f</vt:lpstr>
      <vt:lpstr>Ariffin, H., Hassan, M. A., Kalsom, M. S. U., Abdullah, N. and Shirai, Y. (2008)</vt:lpstr>
      <vt:lpstr>Zheng, Y., Pan, Z. and Zhang, R. (2009). Overview of biomass pretreatment for ce</vt:lpstr>
      <vt:lpstr>Taherzadeh, M. J. and Karimi, K. (2008). Pretreatment of lignocellulosic wastes </vt:lpstr>
      <vt:lpstr>Misson, M., Haron, R., Ahmad, M. F., Aishah, N. O. R. and Amin, S. (2009). Pretr</vt:lpstr>
      <vt:lpstr>Chong, P. S., Jahim, J. M., Harun, S., Lim, S. S., Mutalib, S. A., Hassan, O. an</vt:lpstr>
      <vt:lpstr>Varga, E., Schmidt, A. S., Réczey, K. and Thomsen, A. B. (2003). Pretreatment of</vt:lpstr>
      <vt:lpstr>Lü, H., Ren, M., Zhang, M. and Chen, Y. (2013). Pretreatment of corn stover usin</vt:lpstr>
      <vt:lpstr>Yin, J., Hao, L., Yu, W., Wang, E., Zhao, M., Xu, Q. and Liu, Y. (2014). Enzymat</vt:lpstr>
      <vt:lpstr>Narayanaswamy, N., Faik, A., Goetz, D. J. and Gu, T. (2011). Supercritical carbo</vt:lpstr>
      <vt:lpstr>Ying, T. Y., Teong, L. K., Abdullah, W. N. W. and Peng, L. C. (2014). The effect</vt:lpstr>
      <vt:lpstr>Iberahim, N. I., Jahim, J. M., Harun, S., Nor, M. T. M. and Hassan, O. (2013). S</vt:lpstr>
      <vt:lpstr>Sluiter, A., Hames, B., Ruiz, R., Scarlata, C., Sluiter, J., Templeton, D. and C</vt:lpstr>
      <vt:lpstr>Srinivasan, N. and Ju, L.-K. (2012). Statistical optimization of operating condi</vt:lpstr>
      <vt:lpstr>Segal, L. G. J. M. A., Creely, J. J., Martin, A. E. and Conrad, C. M. (1959). An</vt:lpstr>
      <vt:lpstr>Xiao, L., Sun, Z., Shi, Z. and Xu, F. (2011). Impact of hot compressed water pre</vt:lpstr>
      <vt:lpstr>Kelly-Yong, T. L., Lee, K. T., Mohamed, A. R. and Bhatia, S. (2007). Potential o</vt:lpstr>
      <vt:lpstr>Kim, K. H. and Hong, J. (2001). Supercritical CO2 pretreatment of lignocellulose</vt:lpstr>
      <vt:lpstr>Singh, R., Shukla, A., Tiwari, S. and Srivastava, M. (2014). A review on deligni</vt:lpstr>
      <vt:lpstr>Xiao, B., Sun, X. and Sun, R. (2001). Chemical, structural, and thermal characte</vt:lpstr>
      <vt:lpstr>Park, S., Baker, J. O., Himmel, M. E., Parilla, P. A. and Johnson, D. K. (2010).</vt:lpstr>
      <vt:lpstr>Hassan, O., Ling, T. P., Maskat, M. Y., Illias, R. M., Badri, K., Jahim, J. and </vt:lpstr>
      <vt:lpstr>Gao, M., Xu, F., Li, S., Ji, X., Chen, S. and Zhang, D. (2010). Effect of SC-CO2</vt:lpstr>
      <vt:lpstr/>
    </vt:vector>
  </TitlesOfParts>
  <Company/>
  <LinksUpToDate>false</LinksUpToDate>
  <CharactersWithSpaces>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2016-10-31T00:58:00Z</dcterms:created>
  <dcterms:modified xsi:type="dcterms:W3CDTF">2016-11-14T05:48:00Z</dcterms:modified>
</cp:coreProperties>
</file>