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EB4" w:rsidRDefault="00D15EB4" w:rsidP="00D15EB4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>Malaysian Journal of Analytical Sciences Vol 20 No 6 (2016): 1299 - 1310</w:t>
      </w:r>
    </w:p>
    <w:p w:rsidR="00D15EB4" w:rsidRDefault="00D15EB4" w:rsidP="00D15EB4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D15EB4" w:rsidRDefault="00D15EB4" w:rsidP="00D15EB4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D15EB4" w:rsidRPr="00D15EB4" w:rsidRDefault="00D15EB4" w:rsidP="00D15EB4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D15EB4" w:rsidRPr="007D0287" w:rsidRDefault="00D15EB4" w:rsidP="00D15EB4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val="en-GB"/>
        </w:rPr>
      </w:pPr>
      <w:r w:rsidRPr="007D0287">
        <w:rPr>
          <w:rFonts w:ascii="Times New Roman" w:hAnsi="Times New Roman"/>
          <w:sz w:val="28"/>
          <w:szCs w:val="28"/>
          <w:lang w:val="en-GB"/>
        </w:rPr>
        <w:t>ENHANCED REDUCIBILITY OF Mg-</w:t>
      </w:r>
      <w:r>
        <w:rPr>
          <w:rFonts w:ascii="Times New Roman" w:hAnsi="Times New Roman"/>
          <w:sz w:val="28"/>
          <w:szCs w:val="28"/>
          <w:lang w:val="en-GB"/>
        </w:rPr>
        <w:t>DOPED</w:t>
      </w:r>
      <w:r w:rsidRPr="007D0287">
        <w:rPr>
          <w:rFonts w:ascii="Times New Roman" w:hAnsi="Times New Roman"/>
          <w:sz w:val="28"/>
          <w:szCs w:val="28"/>
          <w:lang w:val="en-GB"/>
        </w:rPr>
        <w:t xml:space="preserve"> MoVTeNbOx MIXED OXIDE CATALYSTS FOR PROPANE OXIDATION REACTION </w:t>
      </w:r>
    </w:p>
    <w:p w:rsidR="00D15EB4" w:rsidRPr="00F447A7" w:rsidRDefault="00D15EB4" w:rsidP="00D15EB4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D15EB4" w:rsidRPr="007D0287" w:rsidRDefault="00D15EB4" w:rsidP="00D15EB4">
      <w:pPr>
        <w:tabs>
          <w:tab w:val="left" w:pos="567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>(</w:t>
      </w:r>
      <w:r w:rsidRPr="007D0287">
        <w:rPr>
          <w:rFonts w:ascii="Times New Roman" w:hAnsi="Times New Roman"/>
          <w:sz w:val="24"/>
          <w:szCs w:val="24"/>
          <w:lang w:val="en-GB"/>
        </w:rPr>
        <w:t>Penambahbaikan Kebolehturunan Mangkin Mg</w:t>
      </w:r>
      <w:r>
        <w:rPr>
          <w:rFonts w:ascii="Times New Roman" w:hAnsi="Times New Roman"/>
          <w:sz w:val="24"/>
          <w:szCs w:val="24"/>
          <w:lang w:val="en-GB"/>
        </w:rPr>
        <w:t>-Terdop-</w:t>
      </w:r>
      <w:r w:rsidRPr="007D0287">
        <w:rPr>
          <w:rFonts w:ascii="Times New Roman" w:hAnsi="Times New Roman"/>
          <w:sz w:val="24"/>
          <w:szCs w:val="24"/>
          <w:lang w:val="en-GB"/>
        </w:rPr>
        <w:t xml:space="preserve">MoVTeNbOx </w:t>
      </w:r>
      <w:r>
        <w:rPr>
          <w:rFonts w:ascii="Times New Roman" w:hAnsi="Times New Roman"/>
          <w:sz w:val="24"/>
          <w:szCs w:val="24"/>
          <w:lang w:val="en-GB"/>
        </w:rPr>
        <w:t xml:space="preserve">Terhadap </w:t>
      </w:r>
      <w:r w:rsidRPr="007D0287">
        <w:rPr>
          <w:rFonts w:ascii="Times New Roman" w:hAnsi="Times New Roman"/>
          <w:sz w:val="24"/>
          <w:szCs w:val="24"/>
          <w:lang w:val="en-GB"/>
        </w:rPr>
        <w:t>Proses Pengoksidaan Propana</w:t>
      </w:r>
      <w:r>
        <w:rPr>
          <w:rFonts w:ascii="Times New Roman" w:hAnsi="Times New Roman"/>
          <w:sz w:val="24"/>
          <w:szCs w:val="24"/>
          <w:lang w:val="en-GB"/>
        </w:rPr>
        <w:t>)</w:t>
      </w:r>
    </w:p>
    <w:p w:rsidR="00D15EB4" w:rsidRPr="00F447A7" w:rsidRDefault="00D15EB4" w:rsidP="00D15EB4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D15EB4" w:rsidRPr="007D0287" w:rsidRDefault="00D15EB4" w:rsidP="00D15EB4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en-GB"/>
        </w:rPr>
      </w:pPr>
      <w:r w:rsidRPr="007D0287">
        <w:rPr>
          <w:rFonts w:ascii="Times New Roman" w:hAnsi="Times New Roman"/>
          <w:sz w:val="20"/>
          <w:szCs w:val="20"/>
          <w:lang w:val="en-GB"/>
        </w:rPr>
        <w:t>Wong Hong Ren, Irmawati Ramli</w:t>
      </w:r>
      <w:r w:rsidRPr="006A2187">
        <w:rPr>
          <w:rFonts w:ascii="Times New Roman" w:hAnsi="Times New Roman"/>
          <w:sz w:val="20"/>
          <w:szCs w:val="20"/>
          <w:lang w:val="en-GB"/>
        </w:rPr>
        <w:t>*</w:t>
      </w:r>
      <w:r w:rsidRPr="007D0287">
        <w:rPr>
          <w:rFonts w:ascii="Times New Roman" w:hAnsi="Times New Roman"/>
          <w:sz w:val="20"/>
          <w:szCs w:val="20"/>
          <w:lang w:val="en-GB"/>
        </w:rPr>
        <w:t>, Taufiq Yap Yun Hin</w:t>
      </w:r>
    </w:p>
    <w:p w:rsidR="00D15EB4" w:rsidRPr="00D15EB4" w:rsidRDefault="00D15EB4" w:rsidP="00D15EB4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D15EB4" w:rsidRPr="00D15EB4" w:rsidRDefault="00D15EB4" w:rsidP="00D15EB4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val="en-GB"/>
        </w:rPr>
      </w:pPr>
      <w:r w:rsidRPr="00D15EB4">
        <w:rPr>
          <w:rFonts w:ascii="Times New Roman" w:hAnsi="Times New Roman"/>
          <w:i/>
          <w:iCs/>
          <w:sz w:val="20"/>
          <w:szCs w:val="20"/>
          <w:lang w:val="en-GB"/>
        </w:rPr>
        <w:t>Centre of Excellence for</w:t>
      </w:r>
      <w:r w:rsidRPr="00D15EB4">
        <w:rPr>
          <w:rFonts w:ascii="Times New Roman" w:hAnsi="Times New Roman"/>
          <w:i/>
          <w:sz w:val="20"/>
          <w:szCs w:val="20"/>
          <w:lang w:val="en-GB"/>
        </w:rPr>
        <w:t xml:space="preserve"> Catalysis Science and Technology, </w:t>
      </w:r>
    </w:p>
    <w:p w:rsidR="00D15EB4" w:rsidRPr="00D15EB4" w:rsidRDefault="00D15EB4" w:rsidP="00D15EB4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val="en-GB"/>
        </w:rPr>
      </w:pPr>
      <w:r w:rsidRPr="00D15EB4">
        <w:rPr>
          <w:rFonts w:ascii="Times New Roman" w:hAnsi="Times New Roman"/>
          <w:i/>
          <w:sz w:val="20"/>
          <w:szCs w:val="20"/>
          <w:lang w:val="en-GB"/>
        </w:rPr>
        <w:t xml:space="preserve">Department of Chemistry, Faculty of Science, </w:t>
      </w:r>
    </w:p>
    <w:p w:rsidR="00D15EB4" w:rsidRPr="00D15EB4" w:rsidRDefault="00D15EB4" w:rsidP="00D15EB4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val="en-GB"/>
        </w:rPr>
      </w:pPr>
      <w:r w:rsidRPr="00D15EB4">
        <w:rPr>
          <w:rFonts w:ascii="Times New Roman" w:hAnsi="Times New Roman"/>
          <w:i/>
          <w:sz w:val="20"/>
          <w:szCs w:val="20"/>
          <w:lang w:val="en-GB"/>
        </w:rPr>
        <w:t>Universiti Putra Malaysia, 43400 UPM Serdang, Selangor, Malaysia</w:t>
      </w:r>
    </w:p>
    <w:p w:rsidR="00D15EB4" w:rsidRPr="00D15EB4" w:rsidRDefault="00D15EB4" w:rsidP="00D15EB4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D15EB4" w:rsidRPr="00D15EB4" w:rsidRDefault="00D15EB4" w:rsidP="00D15EB4">
      <w:pPr>
        <w:spacing w:after="0" w:line="240" w:lineRule="auto"/>
        <w:jc w:val="center"/>
        <w:rPr>
          <w:rFonts w:ascii="Times New Roman" w:hAnsi="Times New Roman"/>
          <w:i/>
          <w:noProof/>
          <w:sz w:val="20"/>
          <w:szCs w:val="20"/>
          <w:lang w:bidi="ar-SA"/>
        </w:rPr>
      </w:pPr>
      <w:r w:rsidRPr="00D15EB4">
        <w:rPr>
          <w:rFonts w:ascii="Times New Roman" w:hAnsi="Times New Roman"/>
          <w:i/>
          <w:noProof/>
          <w:sz w:val="20"/>
          <w:szCs w:val="20"/>
          <w:lang w:bidi="ar-SA"/>
        </w:rPr>
        <w:t xml:space="preserve">*Corresponding author: </w:t>
      </w:r>
      <w:r w:rsidRPr="00D15EB4">
        <w:rPr>
          <w:rFonts w:ascii="Times New Roman" w:hAnsi="Times New Roman"/>
          <w:i/>
          <w:sz w:val="20"/>
          <w:szCs w:val="20"/>
          <w:lang w:val="en-GB"/>
        </w:rPr>
        <w:t>irmawati@upm.edu.my</w:t>
      </w:r>
    </w:p>
    <w:p w:rsidR="00D15EB4" w:rsidRPr="00D15EB4" w:rsidRDefault="00D15EB4" w:rsidP="00D15EB4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D15EB4" w:rsidRPr="00D15EB4" w:rsidRDefault="00D15EB4" w:rsidP="00D15EB4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D15EB4" w:rsidRPr="00D15EB4" w:rsidRDefault="004F6C60" w:rsidP="00D15EB4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>
        <w:rPr>
          <w:rFonts w:ascii="Times New Roman" w:hAnsi="Times New Roman"/>
          <w:noProof/>
          <w:sz w:val="20"/>
          <w:szCs w:val="20"/>
          <w:lang w:bidi="ar-SA"/>
        </w:rPr>
        <w:t>Received: 17 August 2015</w:t>
      </w:r>
      <w:bookmarkStart w:id="0" w:name="_GoBack"/>
      <w:bookmarkEnd w:id="0"/>
      <w:r w:rsidR="00D15EB4" w:rsidRPr="00D15EB4">
        <w:rPr>
          <w:rFonts w:ascii="Times New Roman" w:hAnsi="Times New Roman"/>
          <w:noProof/>
          <w:sz w:val="20"/>
          <w:szCs w:val="20"/>
          <w:lang w:bidi="ar-SA"/>
        </w:rPr>
        <w:t>; Accepted: 29 August 2016</w:t>
      </w:r>
    </w:p>
    <w:p w:rsidR="00D15EB4" w:rsidRPr="00D15EB4" w:rsidRDefault="00D15EB4" w:rsidP="00D15EB4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D15EB4" w:rsidRPr="00D15EB4" w:rsidRDefault="00D15EB4" w:rsidP="00D15EB4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D15EB4" w:rsidRPr="00D15EB4" w:rsidRDefault="00D15EB4" w:rsidP="00D15EB4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D15EB4">
        <w:rPr>
          <w:rFonts w:ascii="Times New Roman" w:hAnsi="Times New Roman"/>
          <w:b/>
          <w:noProof/>
          <w:sz w:val="20"/>
          <w:szCs w:val="20"/>
          <w:lang w:bidi="ar-SA"/>
        </w:rPr>
        <w:t>Abstract</w:t>
      </w:r>
    </w:p>
    <w:p w:rsidR="00D15EB4" w:rsidRPr="00D15EB4" w:rsidRDefault="00D15EB4" w:rsidP="00D15EB4">
      <w:pPr>
        <w:tabs>
          <w:tab w:val="left" w:pos="5190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en-GB"/>
        </w:rPr>
      </w:pPr>
      <w:r w:rsidRPr="00D15EB4">
        <w:rPr>
          <w:rFonts w:ascii="Times New Roman" w:hAnsi="Times New Roman"/>
          <w:sz w:val="20"/>
          <w:szCs w:val="20"/>
          <w:lang w:val="en-GB"/>
        </w:rPr>
        <w:t>A series of magnesium-doped MoVTeNbOx (MVTN-Mg) catalysts, as well as undoped sample (MVTN) was prepared by microwave-assisted slurry method followed by calcination in nitrogen at 873 K for 2 hours. The catalysts were further post-treated in aqueous hydrogen peroxide. The physicochemical properties of the catalysts were investigated using X-ray diffraction (XRD), surface area measurement using Brunauer-Emmett-Teller (BET) method, Fourier Transform Infrared (FTIR) and Field Emission Scanning Electron Microscopy (FESEM) which showed the formation of orthorhombic M1 phase, Te</w:t>
      </w:r>
      <w:r w:rsidRPr="00D15EB4">
        <w:rPr>
          <w:rFonts w:ascii="Times New Roman" w:hAnsi="Times New Roman"/>
          <w:sz w:val="20"/>
          <w:szCs w:val="20"/>
          <w:vertAlign w:val="subscript"/>
          <w:lang w:val="en-GB"/>
        </w:rPr>
        <w:t>2</w:t>
      </w:r>
      <w:r w:rsidRPr="00D15EB4">
        <w:rPr>
          <w:rFonts w:ascii="Times New Roman" w:hAnsi="Times New Roman"/>
          <w:i/>
          <w:sz w:val="20"/>
          <w:szCs w:val="20"/>
          <w:lang w:val="en-GB"/>
        </w:rPr>
        <w:t>M</w:t>
      </w:r>
      <w:r w:rsidRPr="00D15EB4">
        <w:rPr>
          <w:rFonts w:ascii="Times New Roman" w:hAnsi="Times New Roman"/>
          <w:sz w:val="20"/>
          <w:szCs w:val="20"/>
          <w:vertAlign w:val="subscript"/>
          <w:lang w:val="en-GB"/>
        </w:rPr>
        <w:t>20</w:t>
      </w:r>
      <w:r w:rsidRPr="00D15EB4">
        <w:rPr>
          <w:rFonts w:ascii="Times New Roman" w:hAnsi="Times New Roman"/>
          <w:sz w:val="20"/>
          <w:szCs w:val="20"/>
          <w:lang w:val="en-GB"/>
        </w:rPr>
        <w:t>O</w:t>
      </w:r>
      <w:r w:rsidRPr="00D15EB4">
        <w:rPr>
          <w:rFonts w:ascii="Times New Roman" w:hAnsi="Times New Roman"/>
          <w:sz w:val="20"/>
          <w:szCs w:val="20"/>
          <w:vertAlign w:val="subscript"/>
          <w:lang w:val="en-GB"/>
        </w:rPr>
        <w:t>57</w:t>
      </w:r>
      <w:r w:rsidRPr="00D15EB4">
        <w:rPr>
          <w:rFonts w:ascii="Times New Roman" w:hAnsi="Times New Roman"/>
          <w:sz w:val="20"/>
          <w:szCs w:val="20"/>
          <w:lang w:val="en-GB"/>
        </w:rPr>
        <w:t xml:space="preserve"> (</w:t>
      </w:r>
      <w:r w:rsidRPr="00D15EB4">
        <w:rPr>
          <w:rFonts w:ascii="Times New Roman" w:hAnsi="Times New Roman"/>
          <w:i/>
          <w:sz w:val="20"/>
          <w:szCs w:val="20"/>
          <w:lang w:val="en-GB"/>
        </w:rPr>
        <w:t>M</w:t>
      </w:r>
      <w:r w:rsidRPr="00D15EB4">
        <w:rPr>
          <w:rFonts w:ascii="Times New Roman" w:hAnsi="Times New Roman"/>
          <w:sz w:val="20"/>
          <w:szCs w:val="20"/>
          <w:lang w:val="en-GB"/>
        </w:rPr>
        <w:t xml:space="preserve"> = Mo, V or Nb) when doped with Mg at a molar ratio of Mg/Mo of 0.06. Temperature Programmed Reduction in hydrogen (H</w:t>
      </w:r>
      <w:r w:rsidRPr="00D15EB4">
        <w:rPr>
          <w:rFonts w:ascii="Times New Roman" w:hAnsi="Times New Roman"/>
          <w:sz w:val="20"/>
          <w:szCs w:val="20"/>
          <w:vertAlign w:val="subscript"/>
          <w:lang w:val="en-GB"/>
        </w:rPr>
        <w:t>2</w:t>
      </w:r>
      <w:r w:rsidRPr="00D15EB4">
        <w:rPr>
          <w:rFonts w:ascii="Times New Roman" w:hAnsi="Times New Roman"/>
          <w:sz w:val="20"/>
          <w:szCs w:val="20"/>
          <w:lang w:val="en-GB"/>
        </w:rPr>
        <w:t xml:space="preserve">-TPR) results indicated the enhanced reducibility of the Mg doped catalysts as opposed to the undoped ones, signifying the apparent high activity of the catalyst. </w:t>
      </w:r>
    </w:p>
    <w:p w:rsidR="00D15EB4" w:rsidRPr="00D15EB4" w:rsidRDefault="00D15EB4" w:rsidP="00D15EB4">
      <w:pPr>
        <w:tabs>
          <w:tab w:val="left" w:pos="5190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en-GB"/>
        </w:rPr>
      </w:pPr>
    </w:p>
    <w:p w:rsidR="00D15EB4" w:rsidRPr="00D15EB4" w:rsidRDefault="00D15EB4" w:rsidP="00D15EB4">
      <w:pPr>
        <w:tabs>
          <w:tab w:val="left" w:pos="5190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en-GB"/>
        </w:rPr>
      </w:pPr>
      <w:r w:rsidRPr="00D15EB4">
        <w:rPr>
          <w:rFonts w:ascii="Times New Roman" w:hAnsi="Times New Roman"/>
          <w:b/>
          <w:sz w:val="20"/>
          <w:szCs w:val="20"/>
          <w:lang w:val="en-GB"/>
        </w:rPr>
        <w:t>Keywords</w:t>
      </w:r>
      <w:r w:rsidRPr="00D15EB4">
        <w:rPr>
          <w:rFonts w:ascii="Times New Roman" w:hAnsi="Times New Roman"/>
          <w:sz w:val="20"/>
          <w:szCs w:val="20"/>
          <w:lang w:val="en-GB"/>
        </w:rPr>
        <w:t>:  magnesium, dopant, microwave-assisted slurry method, reducibility, propane oxidation</w:t>
      </w:r>
    </w:p>
    <w:p w:rsidR="00D15EB4" w:rsidRPr="00D15EB4" w:rsidRDefault="00D15EB4" w:rsidP="00D15EB4">
      <w:pPr>
        <w:tabs>
          <w:tab w:val="left" w:pos="5190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lang w:val="en-GB"/>
        </w:rPr>
      </w:pPr>
    </w:p>
    <w:p w:rsidR="00D15EB4" w:rsidRPr="00D15EB4" w:rsidRDefault="00D15EB4" w:rsidP="00D15EB4">
      <w:pPr>
        <w:tabs>
          <w:tab w:val="left" w:pos="519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en-GB"/>
        </w:rPr>
      </w:pPr>
      <w:r w:rsidRPr="00D15EB4">
        <w:rPr>
          <w:rFonts w:ascii="Times New Roman" w:hAnsi="Times New Roman"/>
          <w:b/>
          <w:sz w:val="20"/>
          <w:szCs w:val="20"/>
          <w:lang w:val="en-GB"/>
        </w:rPr>
        <w:t>Abstrak</w:t>
      </w:r>
    </w:p>
    <w:p w:rsidR="00D15EB4" w:rsidRPr="00D15EB4" w:rsidRDefault="00D15EB4" w:rsidP="00D15EB4">
      <w:pPr>
        <w:tabs>
          <w:tab w:val="left" w:pos="5190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en-GB"/>
        </w:rPr>
      </w:pPr>
      <w:r w:rsidRPr="00D15EB4">
        <w:rPr>
          <w:rFonts w:ascii="Times New Roman" w:hAnsi="Times New Roman"/>
          <w:sz w:val="20"/>
          <w:szCs w:val="20"/>
          <w:lang w:val="en-GB"/>
        </w:rPr>
        <w:t>Mangkin MoVTeNbOx (MVTN) dan mangkin MoVTeNbOx yang didopkan magnesium (MVTN-Mg) telah dihasilkan melalui kaedah buburan berbantukan oleh penyinaran gelombang mikro. Prekursor telah dikalsinkan dalam nitrogen pada suhu 873 K and seterusnya dirawat dengan hidrogen peroksida. Sifat fisikokimia mangkin yang dikaji dengan menggunakan pembelauan sinar-X (XRD), pengukuran luas permukaan dengan kaedah Brunauer-Emmett-Teller (BET), spektroskopi inframerah transformasi Fourier (FTIR) dan medan elektron-mikroskopi imbasan elektron (FESEM) menunjukkan pembentukan fasa ortorombik M1, Te</w:t>
      </w:r>
      <w:r w:rsidRPr="00D15EB4">
        <w:rPr>
          <w:rFonts w:ascii="Times New Roman" w:hAnsi="Times New Roman"/>
          <w:sz w:val="20"/>
          <w:szCs w:val="20"/>
          <w:vertAlign w:val="subscript"/>
          <w:lang w:val="en-GB"/>
        </w:rPr>
        <w:t>2</w:t>
      </w:r>
      <w:r w:rsidRPr="00D15EB4">
        <w:rPr>
          <w:rFonts w:ascii="Times New Roman" w:hAnsi="Times New Roman"/>
          <w:i/>
          <w:sz w:val="20"/>
          <w:szCs w:val="20"/>
          <w:lang w:val="en-GB"/>
        </w:rPr>
        <w:t>M</w:t>
      </w:r>
      <w:r w:rsidRPr="00D15EB4">
        <w:rPr>
          <w:rFonts w:ascii="Times New Roman" w:hAnsi="Times New Roman"/>
          <w:sz w:val="20"/>
          <w:szCs w:val="20"/>
          <w:vertAlign w:val="subscript"/>
          <w:lang w:val="en-GB"/>
        </w:rPr>
        <w:t>20</w:t>
      </w:r>
      <w:r w:rsidRPr="00D15EB4">
        <w:rPr>
          <w:rFonts w:ascii="Times New Roman" w:hAnsi="Times New Roman"/>
          <w:sz w:val="20"/>
          <w:szCs w:val="20"/>
          <w:lang w:val="en-GB"/>
        </w:rPr>
        <w:t>O</w:t>
      </w:r>
      <w:r w:rsidRPr="00D15EB4">
        <w:rPr>
          <w:rFonts w:ascii="Times New Roman" w:hAnsi="Times New Roman"/>
          <w:sz w:val="20"/>
          <w:szCs w:val="20"/>
          <w:vertAlign w:val="subscript"/>
          <w:lang w:val="en-GB"/>
        </w:rPr>
        <w:t>57</w:t>
      </w:r>
      <w:r w:rsidRPr="00D15EB4">
        <w:rPr>
          <w:rFonts w:ascii="Times New Roman" w:hAnsi="Times New Roman"/>
          <w:sz w:val="20"/>
          <w:szCs w:val="20"/>
          <w:lang w:val="en-GB"/>
        </w:rPr>
        <w:t xml:space="preserve"> (</w:t>
      </w:r>
      <w:r w:rsidRPr="00D15EB4">
        <w:rPr>
          <w:rFonts w:ascii="Times New Roman" w:hAnsi="Times New Roman"/>
          <w:i/>
          <w:sz w:val="20"/>
          <w:szCs w:val="20"/>
          <w:lang w:val="en-GB"/>
        </w:rPr>
        <w:t>M</w:t>
      </w:r>
      <w:r w:rsidRPr="00D15EB4">
        <w:rPr>
          <w:rFonts w:ascii="Times New Roman" w:hAnsi="Times New Roman"/>
          <w:sz w:val="20"/>
          <w:szCs w:val="20"/>
          <w:lang w:val="en-GB"/>
        </w:rPr>
        <w:t xml:space="preserve"> = Mo, V atau Nb) apabila mangkin didopkan magnesium dengan nisbah molar Mg/Mo adalah 0.06. Keputusan penurunan terprogram suhu dengan hidrogen (H</w:t>
      </w:r>
      <w:r w:rsidRPr="00D15EB4">
        <w:rPr>
          <w:rFonts w:ascii="Times New Roman" w:hAnsi="Times New Roman"/>
          <w:sz w:val="20"/>
          <w:szCs w:val="20"/>
          <w:vertAlign w:val="subscript"/>
          <w:lang w:val="en-GB"/>
        </w:rPr>
        <w:t>2</w:t>
      </w:r>
      <w:r w:rsidRPr="00D15EB4">
        <w:rPr>
          <w:rFonts w:ascii="Times New Roman" w:hAnsi="Times New Roman"/>
          <w:sz w:val="20"/>
          <w:szCs w:val="20"/>
          <w:lang w:val="en-GB"/>
        </w:rPr>
        <w:t>-TPR) mendedahkan penambahbaikan kebolehturunan mangkin Mg-MoVTeNbOx berbanding dengan mangkin tanpa dopan dan dengan demikian ini menandakan aktiviti mangkin yang tinggi.</w:t>
      </w:r>
    </w:p>
    <w:p w:rsidR="00D15EB4" w:rsidRPr="00D15EB4" w:rsidRDefault="00D15EB4" w:rsidP="00D15EB4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en-GB"/>
        </w:rPr>
      </w:pPr>
    </w:p>
    <w:p w:rsidR="00496CF3" w:rsidRDefault="00D15EB4" w:rsidP="00D15EB4">
      <w:pPr>
        <w:spacing w:after="0" w:line="240" w:lineRule="auto"/>
        <w:ind w:left="1170" w:hanging="1170"/>
        <w:jc w:val="both"/>
        <w:rPr>
          <w:rFonts w:ascii="Times New Roman" w:hAnsi="Times New Roman"/>
          <w:sz w:val="20"/>
          <w:szCs w:val="20"/>
          <w:lang w:val="en-GB"/>
        </w:rPr>
      </w:pPr>
      <w:r w:rsidRPr="00D15EB4">
        <w:rPr>
          <w:rFonts w:ascii="Times New Roman" w:hAnsi="Times New Roman"/>
          <w:b/>
          <w:sz w:val="20"/>
          <w:szCs w:val="20"/>
          <w:lang w:val="en-GB"/>
        </w:rPr>
        <w:t xml:space="preserve">Kata kunci:  </w:t>
      </w:r>
      <w:r w:rsidRPr="00D15EB4">
        <w:rPr>
          <w:rFonts w:ascii="Times New Roman" w:hAnsi="Times New Roman"/>
          <w:b/>
          <w:sz w:val="20"/>
          <w:szCs w:val="20"/>
          <w:lang w:val="en-GB"/>
        </w:rPr>
        <w:tab/>
      </w:r>
      <w:r w:rsidRPr="00D15EB4">
        <w:rPr>
          <w:rFonts w:ascii="Times New Roman" w:hAnsi="Times New Roman"/>
          <w:sz w:val="20"/>
          <w:szCs w:val="20"/>
          <w:lang w:val="en-GB"/>
        </w:rPr>
        <w:t>magnesium, dopan, kaedah buburan dibantu oleh penyinaran gelombang mikro, kebolehturunan, pengoksidaan propana</w:t>
      </w:r>
    </w:p>
    <w:p w:rsidR="00D15EB4" w:rsidRDefault="00D15EB4" w:rsidP="00D15EB4">
      <w:pPr>
        <w:spacing w:after="0" w:line="240" w:lineRule="auto"/>
        <w:ind w:left="1170" w:hanging="1170"/>
        <w:jc w:val="both"/>
        <w:rPr>
          <w:rFonts w:ascii="Times New Roman" w:hAnsi="Times New Roman"/>
          <w:sz w:val="20"/>
          <w:szCs w:val="20"/>
          <w:lang w:val="en-GB"/>
        </w:rPr>
      </w:pPr>
    </w:p>
    <w:p w:rsidR="00D15EB4" w:rsidRPr="00F447A7" w:rsidRDefault="00D15EB4" w:rsidP="00D15EB4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A84ABE">
        <w:rPr>
          <w:rFonts w:ascii="Times New Roman" w:hAnsi="Times New Roman" w:cs="Times New Roman"/>
          <w:sz w:val="20"/>
          <w:szCs w:val="20"/>
          <w:lang w:val="en-GB"/>
        </w:rPr>
        <w:lastRenderedPageBreak/>
        <w:fldChar w:fldCharType="begin"/>
      </w:r>
      <w:r w:rsidRPr="00A84ABE">
        <w:rPr>
          <w:rFonts w:ascii="Times New Roman" w:hAnsi="Times New Roman" w:cs="Times New Roman"/>
          <w:sz w:val="20"/>
          <w:szCs w:val="20"/>
          <w:lang w:val="en-GB"/>
        </w:rPr>
        <w:instrText xml:space="preserve"> ADDIN EN.REFLIST </w:instrText>
      </w:r>
      <w:r w:rsidRPr="00A84ABE">
        <w:rPr>
          <w:rFonts w:ascii="Times New Roman" w:hAnsi="Times New Roman" w:cs="Times New Roman"/>
          <w:sz w:val="20"/>
          <w:szCs w:val="20"/>
          <w:lang w:val="en-GB"/>
        </w:rPr>
        <w:fldChar w:fldCharType="separate"/>
      </w:r>
      <w:bookmarkStart w:id="1" w:name="_ENREF_1"/>
      <w:r w:rsidRPr="00A84ABE">
        <w:rPr>
          <w:rFonts w:ascii="Times New Roman" w:hAnsi="Times New Roman" w:cs="Times New Roman"/>
          <w:sz w:val="20"/>
          <w:szCs w:val="20"/>
          <w:lang w:val="en-GB"/>
        </w:rPr>
        <w:t xml:space="preserve">Ushikubo, T., Nakamura, H., Koyasu, Y. and Wajiki, S. (1997). US Patent 5,380,933 (1995). </w:t>
      </w:r>
      <w:r w:rsidRPr="00A84ABE">
        <w:rPr>
          <w:rFonts w:ascii="Times New Roman" w:hAnsi="Times New Roman" w:cs="Times New Roman"/>
          <w:i/>
          <w:sz w:val="20"/>
          <w:szCs w:val="20"/>
          <w:lang w:val="en-GB"/>
        </w:rPr>
        <w:t>Mitsubishi Kasei Corporation</w:t>
      </w:r>
      <w:r w:rsidRPr="00A84ABE">
        <w:rPr>
          <w:rFonts w:ascii="Times New Roman" w:hAnsi="Times New Roman" w:cs="Times New Roman"/>
          <w:sz w:val="20"/>
          <w:szCs w:val="20"/>
          <w:lang w:val="en-GB"/>
        </w:rPr>
        <w:t>.</w:t>
      </w:r>
      <w:bookmarkStart w:id="2" w:name="_ENREF_2"/>
      <w:bookmarkEnd w:id="1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Popova, G. Y., Andrushkevich, T., Chesalov, Y. A., Plyasova, L., Dovlitova, L., Ischenko, E. and Khramov, M. (2009). Formation of active phases in MoVTeNb oxide catalysts for ammoxidation of propane.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Catalysis Today,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144(3): 312 - 317. </w:t>
      </w:r>
      <w:bookmarkStart w:id="3" w:name="_ENREF_3"/>
      <w:bookmarkEnd w:id="2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Amakawa, K., Kolen’ko, Y. V., Villa, A., Schuster, M. E., Csepei, L.-I., Weinberg, G. and Prati, L. (2013). Multifunctionality of crystalline MoV(TeNb) M1 oxide catalysts in selective oxidation of propane and benzyl alcohol.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>ACS Catalysis, 3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(6): 1103 - 1113. </w:t>
      </w:r>
      <w:bookmarkStart w:id="4" w:name="_ENREF_4"/>
      <w:bookmarkEnd w:id="3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Ushikubo, T., Oshima, K., Kayou, A. and Hatano, M. (1997). Ammoxidation of propane over Mo-V-Nb-Te mixed oxide catalysts.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Studies in Surface Science and Catalysis,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112: 473 - 480. </w:t>
      </w:r>
      <w:bookmarkStart w:id="5" w:name="_ENREF_5"/>
      <w:bookmarkEnd w:id="4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Asakura, K., Nakatani, K., Kubota, T. and Iwasawa, Y. (2000). Characterization and kinetic studies on the highly active ammoxidation catalyst MoVNbTeOx.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>Journal of Catalysis,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 194(2): 309 - 317. </w:t>
      </w:r>
      <w:bookmarkStart w:id="6" w:name="_ENREF_6"/>
      <w:bookmarkEnd w:id="5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Tsuji, H. and Koyasu, Y. (2002). Synthesis of MoVNbTe(Sb)Ox composite oxide catalysts via reduction of polyoxometalates in an aqueous medium.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Journal of the American Chemical Society,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124(20): 5608 - 5609. </w:t>
      </w:r>
      <w:bookmarkStart w:id="7" w:name="_ENREF_7"/>
      <w:bookmarkEnd w:id="6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Oliver, J., Nieto, J. L., Botella, P. and Mifsud, A. (2004). The effect of pH on structural and catalytic properties of MoVTeNbO catalysts.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Applied Catalysis A: General,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257(1): 67 - 76. </w:t>
      </w:r>
      <w:bookmarkStart w:id="8" w:name="_ENREF_8"/>
      <w:bookmarkEnd w:id="7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Grasselli, R. K., Burrington, J. D., Buttrey, D. J., DeSanto Jr, P., Lugmair, C. G., Volpe Jr, A. F. and Weingand, T. (2003). Multifunctionality of active centers in (amm) oxidation catalysts: from Bi–Mo–O x to Mo–V–Nb–(Te, Sb)–Ox.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>Topics in Catalysis, 23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(1-4): 5 - 22. </w:t>
      </w:r>
      <w:bookmarkStart w:id="9" w:name="_ENREF_9"/>
      <w:bookmarkEnd w:id="8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García-González, E., López Nieto, J., Botella, P. and González-Calbet, J. (2002). On the nature and structure of a new MoVTeO crystalline phase.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Chemistry of Materials,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14(10): 4416 - 4421. </w:t>
      </w:r>
      <w:bookmarkStart w:id="10" w:name="_ENREF_10"/>
      <w:bookmarkEnd w:id="9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Tsuji, H., Oshima, K. and Koyasu, Y. (2003). Synthesis of molybdenum and vanadium-based mixed oxide catalysts with metastable structure: Easy access to the MoVNbTe(Sb)Ox catalytically active structure using reductant and oxoacid.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Chemistry of Materials,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15(11): 2112 - 2114. </w:t>
      </w:r>
      <w:bookmarkStart w:id="11" w:name="_ENREF_11"/>
      <w:bookmarkEnd w:id="10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Ueda, W. and Oshihara, K. (2000). Selective oxidation of light alkanes over hydrothermally synthesized Mo-VMO (M= Al, Ga, Bi, Sb, and Te) oxide catalysts.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Applied Catalysis A: General,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200(1), 135 - 143. </w:t>
      </w:r>
      <w:bookmarkStart w:id="12" w:name="_ENREF_12"/>
      <w:bookmarkEnd w:id="11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Grasselli, R. K., Buttrey, D. J., DeSanto, P., Burrington, J. D., Lugmair, C. G., Volpe, A. F. and Weingand, T. (2004). Active centers in Mo–V–Nb–Te–O x (amm) oxidation catalysts.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Catalysis Today,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91: 251 - 258. </w:t>
      </w:r>
      <w:bookmarkStart w:id="13" w:name="_ENREF_13"/>
      <w:bookmarkEnd w:id="12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Grasselli, R. K. (2005). Selectivity issues in (amm) oxidation catalysis.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Catalysis Today,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99(1): 23 - 31. </w:t>
      </w:r>
      <w:bookmarkStart w:id="14" w:name="_ENREF_14"/>
      <w:bookmarkEnd w:id="13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Ueda, W., Vitry, D., Kato, T., Watanabe, N. and Endo, Y. (2006). Key aspects of crystalline Mo-VO-based catalysts active in the selective oxidation of propane.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Research on Chemical Intermediates,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32(3): 217 - 233. </w:t>
      </w:r>
      <w:bookmarkStart w:id="15" w:name="_ENREF_15"/>
      <w:bookmarkEnd w:id="14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Schacht, L., Navarrete, J., Schacht, P. and Ramírez, M. A. (2010). Influence of Vanadium oxidation states on the performance of V-Mg-Al mixed-oxide catalysts for the oxidative dehydrogenation of propane.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>Journal of the Mexican Chemical Society,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 54(2): 69 - 73. </w:t>
      </w:r>
      <w:bookmarkStart w:id="16" w:name="_ENREF_16"/>
      <w:bookmarkEnd w:id="15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Pless, J. D., Bardin, B. B., Kim, H.-S., Ko, D., Smith, M. T., Hammond, R. R. and Poeppelmeier, K. R. (2004). Catalytic oxidative dehydrogenation of propane over Mg–V/Mo oxides.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Journal of Catalysis,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223(2): 419 - 431. </w:t>
      </w:r>
      <w:bookmarkStart w:id="17" w:name="_ENREF_17"/>
      <w:bookmarkEnd w:id="16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Lee, K., Yoon, Y.-S., Ueda, W. and Moro-Oka, Y. (1997). An evidence of active surface MoOx over MgMoO4 for the catalytic oxidative dehydrogenation of propane.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>Catalysis Letters, 46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(3-4): 267 - 271. </w:t>
      </w:r>
      <w:bookmarkStart w:id="18" w:name="_ENREF_18"/>
      <w:bookmarkEnd w:id="17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Yoon, Y. S., Ueda, W. &amp; Moro-oka, Y. (1995). Oxidative dehydrogenation of propane over magnesium molybdate catalysts.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Catalysis Letters,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35(1-2): 57 - 64. </w:t>
      </w:r>
      <w:bookmarkStart w:id="19" w:name="_ENREF_19"/>
      <w:bookmarkEnd w:id="18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>Cadus, L., Gomez, M. and Abello, M. (1997). Synergy effects in the oxidative dehydrogenation of propane over MgMoO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4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-MoO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3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 catalysts.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Catalysis Letters,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43(3-4): 229 - 233. </w:t>
      </w:r>
      <w:bookmarkStart w:id="20" w:name="_ENREF_20"/>
      <w:bookmarkEnd w:id="19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Morales, E. and Lunsford, J. H. (1989). Oxidative dehydrogenation of ethane over a lithium-promoted magnesium oxide catalyst.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Journal of Catalysis,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118(1): 255 - 265. </w:t>
      </w:r>
      <w:bookmarkStart w:id="21" w:name="_ENREF_21"/>
      <w:bookmarkEnd w:id="20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Conway, S. J. and Lunsford, J. H. (1991). The oxidative dehydrogenation of ethane over chlorine-promoted lithium-magnesium oxide catalysts.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Journal of Catalysis,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131(2): 513 - 522. </w:t>
      </w:r>
      <w:bookmarkStart w:id="22" w:name="_ENREF_22"/>
      <w:bookmarkEnd w:id="21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Mahdavi, V. &amp; Hasheminasab, H. R. (2015). Liquid-phase efficient oxidation of cyclohexane over cobalt promoted VPO catalyst using tert-butylhydroperoxide.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>Journal of the Taiwan Institute of Chemical Engineers</w:t>
      </w:r>
      <w:bookmarkEnd w:id="22"/>
      <w:r w:rsidRPr="00F86AD5">
        <w:rPr>
          <w:rFonts w:ascii="Times New Roman" w:hAnsi="Times New Roman" w:cs="Times New Roman"/>
          <w:sz w:val="20"/>
          <w:szCs w:val="20"/>
          <w:lang w:val="en-GB"/>
        </w:rPr>
        <w:t>, 51: 53 - 62.</w:t>
      </w:r>
      <w:bookmarkStart w:id="23" w:name="_ENREF_23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Ivars, F., Solsona, B., Botella, P., Soriano, M. and Nieto, J. L. (2009). Selective oxidation of propane over alkali-doped Mo–V–Sb–O catalysts.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Catalysis Today,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141(3): 294 - 299. </w:t>
      </w:r>
      <w:bookmarkStart w:id="24" w:name="_ENREF_24"/>
      <w:bookmarkEnd w:id="23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Botella, P., Concepción, P., Nieto, J. L. and Solsona, B. (2003). Effect of potassium doping on the catalytic behavior of Mo–V–Sb mixed oxide catalysts in the oxidation of propane to acrylic acid.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>Catalysis Letters,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 89(3-4): 249 - 253. </w:t>
      </w:r>
      <w:bookmarkStart w:id="25" w:name="_ENREF_25"/>
      <w:bookmarkEnd w:id="24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Ivars, F., Solsona, B., Soriano, M. and Nieto, J. L. (2008). Selective oxidation of propane over AMoVSbO catalysts (A= Li, Na, K, Rb or Cs).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Topics in Catalysis,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50(1-4): 74 - 81. </w:t>
      </w:r>
      <w:bookmarkStart w:id="26" w:name="_ENREF_26"/>
      <w:bookmarkEnd w:id="25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Ueda, W., Endo, Y. and Watanabe, N. (2006). K-doped Mo–V–Sb–O crystalline catalysts for propane selective oxidation to acrylic acid.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Topics in Catalysis,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38(4), 261 - 268. </w:t>
      </w:r>
      <w:bookmarkStart w:id="27" w:name="_ENREF_27"/>
      <w:bookmarkEnd w:id="26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Sanfiz, A. C., Hansen, T. W., Girgsdies, F., Timpe, O., Rödel, E., Ressler, T. and Schlögl, R. (2008). Preparation of phase-pure M1 MoVTeNb oxide catalysts by hydrothermal synthesis—influence of reaction parameters on structure and morphology.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Topics in Catalysis,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50(1-4): 19 - 32. </w:t>
      </w:r>
      <w:bookmarkStart w:id="28" w:name="_ENREF_28"/>
      <w:bookmarkEnd w:id="27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Vitry, D., Morikawa, Y., Dubois, J. and Ueda, W. (2003). Mo-V-Te-(Nb)-O mixed metal oxides prepared by hydrothermal synthesis for catalytic selective oxidations of propane and propene to acrylic acid.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Applied Catalysis A: General,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251(2): 411 - 424. </w:t>
      </w:r>
      <w:bookmarkStart w:id="29" w:name="_ENREF_29"/>
      <w:bookmarkEnd w:id="28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Lin, M. M. (2003). Complex metal-oxide catalysts for selective oxidation of propane and derivatives: I. Catalysts preparation and application in propane selective oxidation to acrylic acid.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>Applied Catalysis A: General,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 250(2): 305 - 318. </w:t>
      </w:r>
      <w:bookmarkStart w:id="30" w:name="_ENREF_30"/>
      <w:bookmarkEnd w:id="29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Tu, X., Furuta, N., Sumida, Y., Takahashi, M. and Niiduma, H. (2006). A new approach to the preparation of MoVNbTe mixed oxide catalysts for the oxidation of propane to acrylic acid.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Catalysis Today,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117(1): 259 - 264. </w:t>
      </w:r>
      <w:bookmarkStart w:id="31" w:name="_ENREF_31"/>
      <w:bookmarkEnd w:id="30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>Irmawati, R., Ahmad Afandi, M., Ahmad Zaidi, I. and Hossein Abbastabar, A. (2011).</w:t>
      </w:r>
      <w:bookmarkEnd w:id="31"/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 Patent pending No. PI2011003855.</w:t>
      </w:r>
      <w:bookmarkStart w:id="32" w:name="_ENREF_32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Evans Jr, H. T. (1968). Refined molecular structure of the heptamolybdate and hexamolybdotellurate ions.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Journal of the American Chemical Society,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90(12): 3275 - 3276. </w:t>
      </w:r>
      <w:bookmarkStart w:id="33" w:name="_ENREF_33"/>
      <w:bookmarkEnd w:id="32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Sun, Y., Liu, J. and Wang, E. (1986). Preparation and properties of some new 6-heteropoly-tellurate compounds of tungsten and molybdenum containing vanadium.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>Inorganica Chimica Acta,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 117(1): 23 - 26. </w:t>
      </w:r>
      <w:bookmarkStart w:id="34" w:name="_ENREF_34"/>
      <w:bookmarkEnd w:id="33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>Ratheesh, R., Suresh, G. and Nayar, V. (1995). Infrared and polarized raman spectra of M6 [TeMo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6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O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24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]·7H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O [M= K, NH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4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] and (NH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4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)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6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[TeMo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6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O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24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]·Te(OH)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6·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7H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O single crystals.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>Journal of Solid State Chemistry,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 118(2): 341 - 356. </w:t>
      </w:r>
      <w:bookmarkStart w:id="35" w:name="_ENREF_35"/>
      <w:bookmarkEnd w:id="34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>Botto, I., Cabello, C. and Thomas, H. (1997). (NH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4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)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6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[TeMo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6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O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24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]·7H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O Anderson phase as precursor of the TeMo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5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O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16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 catalytic phase: thermal and spectroscopic studies.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Materials Chemistry and Physics,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47(1): 37 - 45. </w:t>
      </w:r>
      <w:bookmarkStart w:id="36" w:name="_ENREF_36"/>
      <w:bookmarkEnd w:id="35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Botella, P., Nieto, J. L. and Solsona, B. (2002). Selective oxidation of propene to acrolein on Mo-Te mixed oxides catalysts prepared from ammonium telluromolybdates.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Journal of Molecular Catalysis A: Chemical,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184(1): 335 - 347. </w:t>
      </w:r>
      <w:bookmarkStart w:id="37" w:name="_ENREF_37"/>
      <w:bookmarkEnd w:id="36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>Nakamoto, K. (1970). Infrared spectra of inorganic and coordination compounds. 2</w:t>
      </w:r>
      <w:r w:rsidRPr="00F86AD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nd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 Edition. Wiley Science, New York. </w:t>
      </w:r>
      <w:bookmarkStart w:id="38" w:name="_ENREF_38"/>
      <w:bookmarkEnd w:id="37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Lin, M. M. (2003). Complex metal oxide catalysts for selective oxidation of propane and derivatives: II. The relationship among catalyst preparation, structure and catalytic properties.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Applied Catalysis A: General,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250(2): 287 - 303. </w:t>
      </w:r>
      <w:bookmarkStart w:id="39" w:name="_ENREF_39"/>
      <w:bookmarkEnd w:id="38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Deniau, B., Millet, J., Loridant, S., Christin, N. and Dubois, J. (2008). Effect of several cationic substitutions in the M1 active phase of the MoVTeNbO catalysts used for the oxidation of propane to acrylic acid.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Journal of Catalysis,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260(1): 30 - 36. </w:t>
      </w:r>
      <w:bookmarkStart w:id="40" w:name="_ENREF_40"/>
      <w:bookmarkEnd w:id="39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Ischenko, E., Andrushkevich, T., Popova, G. Y., Bondareva, V., Chesalov, Y., Kardash, T. Y. and Ischenko, A. (2010). Formation of active component of MoVTeNb oxide catalyst for selective oxidation and ammoxidation of propane and ethane.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Studies in Surface Science and Catalysis,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175: 479 - 482. </w:t>
      </w:r>
      <w:bookmarkStart w:id="41" w:name="_ENREF_41"/>
      <w:bookmarkEnd w:id="40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Popova, G. Y., Andrushkevich, T., Aleshina, G., Plyasova, L. and Khramov, M. (2007). Effect of oxalic acid content and medium of thermal treatment on physicochemical and catalytic properties of MoVTeNb oxide catalysts in propane ammoxidation.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>Applied Catalysis A: General,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 328(2): 195 - 200. </w:t>
      </w:r>
      <w:bookmarkStart w:id="42" w:name="_ENREF_42"/>
      <w:bookmarkEnd w:id="41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Magneli, A. (1953). Studies on the hexagonal tungsten bronzes of-potassium.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Acta Chemica Scandinavica,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7: 315 - 324. </w:t>
      </w:r>
      <w:bookmarkStart w:id="43" w:name="_ENREF_43"/>
      <w:bookmarkEnd w:id="42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Girgsdies, F., Schlögl, R. and Trunschke, A. (2012). In-situ X-ray diffraction study of phase crystallization from an amorphous MoVTeNb oxide catalyst precursor.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Catalysis Communications,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18:  60 - 62. </w:t>
      </w:r>
      <w:bookmarkStart w:id="44" w:name="_ENREF_44"/>
      <w:bookmarkEnd w:id="43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Murayama, H., Vitry, D., Ueda, W., Fuchs, G., Anne, M. and Dubois, J. (2007). Structure characterization of orthorhombic phase in MoVTeNbO catalyst by powder X-ray diffraction and XANES.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>Applied Catalysis A: General,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 318: 137 - 142. </w:t>
      </w:r>
      <w:bookmarkStart w:id="45" w:name="_ENREF_45"/>
      <w:bookmarkEnd w:id="44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Deniau, B., Bergeret, G., Jouguet, B., Dubois, J. and Millet, J. (2008). Preparation of single M1 phase MoVTe(Sb)NbO catalyst: Study of the effect of M2 phase dissolution on the structure and catalytic properties.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Topics in Catalysis,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50(1-4): 33 - 42. </w:t>
      </w:r>
      <w:bookmarkStart w:id="46" w:name="_ENREF_46"/>
      <w:bookmarkEnd w:id="45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Bart, J., Cariati, F. and Sgamellotti, A. (1979). Mixed-valence effects in tellurium-molybdenum oxides.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>Inorganica Chimica Acta,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 36: 105 - 112. </w:t>
      </w:r>
      <w:bookmarkStart w:id="47" w:name="_ENREF_47"/>
      <w:bookmarkEnd w:id="46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>Bart, J., Petrini, G. and Giordano, N. (1975). Solid</w:t>
      </w:r>
      <w:r w:rsidRPr="00F86AD5">
        <w:rPr>
          <w:rFonts w:ascii="Cambria Math" w:hAnsi="Cambria Math" w:cs="Cambria Math"/>
          <w:sz w:val="20"/>
          <w:szCs w:val="20"/>
          <w:lang w:val="en-GB"/>
        </w:rPr>
        <w:t>‐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state equilibrium relations in the Ternary Systems TeO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-MoO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3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-MoO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 and TeO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-MoO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3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-Te.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Zeitschrift für anorganische und allgemeine Chemie,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413(2): 180 - 192. </w:t>
      </w:r>
      <w:bookmarkStart w:id="48" w:name="_ENREF_48"/>
      <w:bookmarkEnd w:id="47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Botella, P., Nieto, J. L., Solsona, B., Mifsud, A. and Márquez, F. (2002). The preparation, characterization, and catalytic behavior of MoVTeNbO catalysts prepared by hydrothermal synthesis.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Journal of Catalysis,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209(2): 445 - 455. </w:t>
      </w:r>
      <w:bookmarkStart w:id="49" w:name="_ENREF_49"/>
      <w:bookmarkEnd w:id="48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>Jiang, H., Lu, W. &amp; Wan, H. (2004). The effect of MoV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0.3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Te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0.23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P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x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>O</w:t>
      </w:r>
      <w:r w:rsidRPr="00F86AD5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n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 catalysts with different phosphorus content for selective oxidation of propane to acrolein.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>Journal of Molecular Catalysis A: Chemical,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 208(1): 213 - 217. </w:t>
      </w:r>
      <w:bookmarkStart w:id="50" w:name="_ENREF_50"/>
      <w:bookmarkEnd w:id="49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Pereira, E. B., Pereira, M. M., Lam, Y., Perez, C. A. and Schmal, M. (2000). Synthesis and characterization of niobium oxide layers on silica and the interaction with nickel.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Applied Catalysis A: General,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197(1): 99 - 106. </w:t>
      </w:r>
      <w:bookmarkStart w:id="51" w:name="_ENREF_51"/>
      <w:bookmarkEnd w:id="50"/>
    </w:p>
    <w:p w:rsidR="00D15EB4" w:rsidRDefault="00D15EB4" w:rsidP="00D15EB4">
      <w:pPr>
        <w:pStyle w:val="EndNoteBibliography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Ramli, I., Botella, P., Ivars, F., Meng, W. P., Zawawi, S. M. M., Ahangar, H. A. and Nieto, J. M. L. (2011). Reflux method as a novel route for the synthesis of MoVTeNbOx catalysts for selective oxidation of propane to acrylic acid. </w:t>
      </w:r>
      <w:r w:rsidRPr="00F86AD5">
        <w:rPr>
          <w:rFonts w:ascii="Times New Roman" w:hAnsi="Times New Roman" w:cs="Times New Roman"/>
          <w:i/>
          <w:sz w:val="20"/>
          <w:szCs w:val="20"/>
          <w:lang w:val="en-GB"/>
        </w:rPr>
        <w:t xml:space="preserve">Journal of Molecular Catalysis A: Chemical, </w:t>
      </w:r>
      <w:r w:rsidRPr="00F86AD5">
        <w:rPr>
          <w:rFonts w:ascii="Times New Roman" w:hAnsi="Times New Roman" w:cs="Times New Roman"/>
          <w:sz w:val="20"/>
          <w:szCs w:val="20"/>
          <w:lang w:val="en-GB"/>
        </w:rPr>
        <w:t xml:space="preserve">342: 50 - 57. </w:t>
      </w:r>
      <w:bookmarkEnd w:id="51"/>
    </w:p>
    <w:p w:rsidR="00D15EB4" w:rsidRPr="00F86AD5" w:rsidRDefault="00D15EB4" w:rsidP="00D15EB4">
      <w:pPr>
        <w:pStyle w:val="EndNoteBibliography"/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:rsidR="00D15EB4" w:rsidRPr="00D15EB4" w:rsidRDefault="00D15EB4" w:rsidP="00D15EB4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en-GB"/>
        </w:rPr>
      </w:pPr>
      <w:r w:rsidRPr="00A84ABE">
        <w:rPr>
          <w:rFonts w:ascii="Times New Roman" w:hAnsi="Times New Roman"/>
          <w:sz w:val="20"/>
          <w:szCs w:val="20"/>
          <w:lang w:val="en-GB"/>
        </w:rPr>
        <w:fldChar w:fldCharType="end"/>
      </w:r>
    </w:p>
    <w:sectPr w:rsidR="00D15EB4" w:rsidRPr="00D15EB4" w:rsidSect="00D15EB4">
      <w:pgSz w:w="12240" w:h="15840"/>
      <w:pgMar w:top="1800" w:right="1469" w:bottom="1699" w:left="148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B0149"/>
    <w:multiLevelType w:val="hybridMultilevel"/>
    <w:tmpl w:val="1E90D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EB4"/>
    <w:rsid w:val="00496CF3"/>
    <w:rsid w:val="004F6C60"/>
    <w:rsid w:val="00D0718B"/>
    <w:rsid w:val="00D15EB4"/>
    <w:rsid w:val="00D4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EB4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D15EB4"/>
    <w:pPr>
      <w:spacing w:line="240" w:lineRule="auto"/>
    </w:pPr>
    <w:rPr>
      <w:rFonts w:ascii="Calibri" w:eastAsiaTheme="minorEastAsia" w:hAnsi="Calibri" w:cstheme="minorBidi"/>
      <w:noProof/>
      <w:lang w:eastAsia="zh-CN" w:bidi="ar-SA"/>
    </w:rPr>
  </w:style>
  <w:style w:type="character" w:customStyle="1" w:styleId="EndNoteBibliographyChar">
    <w:name w:val="EndNote Bibliography Char"/>
    <w:basedOn w:val="DefaultParagraphFont"/>
    <w:link w:val="EndNoteBibliography"/>
    <w:rsid w:val="00D15EB4"/>
    <w:rPr>
      <w:rFonts w:ascii="Calibri" w:eastAsiaTheme="minorEastAsia" w:hAnsi="Calibri"/>
      <w:noProof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EB4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D15EB4"/>
    <w:pPr>
      <w:spacing w:line="240" w:lineRule="auto"/>
    </w:pPr>
    <w:rPr>
      <w:rFonts w:ascii="Calibri" w:eastAsiaTheme="minorEastAsia" w:hAnsi="Calibri" w:cstheme="minorBidi"/>
      <w:noProof/>
      <w:lang w:eastAsia="zh-CN" w:bidi="ar-SA"/>
    </w:rPr>
  </w:style>
  <w:style w:type="character" w:customStyle="1" w:styleId="EndNoteBibliographyChar">
    <w:name w:val="EndNote Bibliography Char"/>
    <w:basedOn w:val="DefaultParagraphFont"/>
    <w:link w:val="EndNoteBibliography"/>
    <w:rsid w:val="00D15EB4"/>
    <w:rPr>
      <w:rFonts w:ascii="Calibri" w:eastAsiaTheme="minorEastAsia" w:hAnsi="Calibri"/>
      <w:noProof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1993</Words>
  <Characters>11363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 Hamzah</dc:creator>
  <cp:lastModifiedBy>Harun Hamzah</cp:lastModifiedBy>
  <cp:revision>2</cp:revision>
  <dcterms:created xsi:type="dcterms:W3CDTF">2016-10-13T11:53:00Z</dcterms:created>
  <dcterms:modified xsi:type="dcterms:W3CDTF">2016-10-14T15:12:00Z</dcterms:modified>
</cp:coreProperties>
</file>