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5E60" w:rsidRDefault="00E75E60" w:rsidP="00E75E60">
      <w:pPr>
        <w:spacing w:after="0" w:line="240" w:lineRule="auto"/>
        <w:rPr>
          <w:rFonts w:ascii="Times New Roman" w:hAnsi="Times New Roman"/>
          <w:sz w:val="24"/>
          <w:szCs w:val="24"/>
        </w:rPr>
      </w:pPr>
      <w:r>
        <w:rPr>
          <w:rFonts w:ascii="Times New Roman" w:hAnsi="Times New Roman"/>
          <w:sz w:val="24"/>
          <w:szCs w:val="24"/>
        </w:rPr>
        <w:t>Malaysian Journal of Analytical Sciences Vol 21 No 1 (2017): 13 - 19</w:t>
      </w:r>
    </w:p>
    <w:p w:rsidR="00E75E60" w:rsidRDefault="00E75E60" w:rsidP="00E75E60">
      <w:pPr>
        <w:spacing w:after="0" w:line="240" w:lineRule="auto"/>
        <w:rPr>
          <w:rFonts w:ascii="Times New Roman" w:hAnsi="Times New Roman"/>
          <w:sz w:val="24"/>
          <w:szCs w:val="24"/>
        </w:rPr>
      </w:pPr>
    </w:p>
    <w:p w:rsidR="00E75E60" w:rsidRDefault="00E75E60" w:rsidP="00E75E60">
      <w:pPr>
        <w:spacing w:after="0" w:line="240" w:lineRule="auto"/>
        <w:rPr>
          <w:rFonts w:ascii="Times New Roman" w:hAnsi="Times New Roman"/>
          <w:sz w:val="24"/>
          <w:szCs w:val="24"/>
        </w:rPr>
      </w:pPr>
    </w:p>
    <w:p w:rsidR="00E75E60" w:rsidRPr="00E75E60" w:rsidRDefault="00E75E60" w:rsidP="00E75E60">
      <w:pPr>
        <w:spacing w:after="0" w:line="240" w:lineRule="auto"/>
        <w:rPr>
          <w:rFonts w:ascii="Times New Roman" w:hAnsi="Times New Roman"/>
          <w:sz w:val="24"/>
          <w:szCs w:val="24"/>
        </w:rPr>
      </w:pPr>
    </w:p>
    <w:p w:rsidR="00E75E60" w:rsidRDefault="00E75E60" w:rsidP="00E75E60">
      <w:pPr>
        <w:spacing w:after="0" w:line="240" w:lineRule="auto"/>
        <w:jc w:val="center"/>
        <w:rPr>
          <w:rFonts w:ascii="Times New Roman" w:hAnsi="Times New Roman"/>
          <w:sz w:val="28"/>
          <w:szCs w:val="28"/>
        </w:rPr>
      </w:pPr>
      <w:r w:rsidRPr="0065019E">
        <w:rPr>
          <w:rFonts w:ascii="Times New Roman" w:hAnsi="Times New Roman"/>
          <w:sz w:val="28"/>
          <w:szCs w:val="28"/>
        </w:rPr>
        <w:t>MgCl</w:t>
      </w:r>
      <w:r w:rsidRPr="0065019E">
        <w:rPr>
          <w:rFonts w:ascii="Times New Roman" w:hAnsi="Times New Roman"/>
          <w:sz w:val="28"/>
          <w:szCs w:val="28"/>
          <w:vertAlign w:val="subscript"/>
        </w:rPr>
        <w:t>2</w:t>
      </w:r>
      <w:r w:rsidRPr="0065019E">
        <w:rPr>
          <w:rFonts w:ascii="Times New Roman" w:hAnsi="Times New Roman"/>
          <w:sz w:val="28"/>
          <w:szCs w:val="28"/>
        </w:rPr>
        <w:t xml:space="preserve"> AS EFFICIENT A</w:t>
      </w:r>
      <w:r>
        <w:rPr>
          <w:rFonts w:ascii="Times New Roman" w:hAnsi="Times New Roman"/>
          <w:sz w:val="28"/>
          <w:szCs w:val="28"/>
        </w:rPr>
        <w:t xml:space="preserve">ND INEXPENSIVE CATALYST FOR THE </w:t>
      </w:r>
      <w:r w:rsidRPr="00955FF1">
        <w:rPr>
          <w:rFonts w:ascii="Times New Roman" w:hAnsi="Times New Roman"/>
          <w:sz w:val="28"/>
          <w:szCs w:val="28"/>
        </w:rPr>
        <w:t>SYNTHESIS OF 1,4-DIHYDROPYRIDINE DERIVATIVES</w:t>
      </w:r>
    </w:p>
    <w:p w:rsidR="00E75E60" w:rsidRPr="00955FF1" w:rsidRDefault="00E75E60" w:rsidP="00E75E60">
      <w:pPr>
        <w:spacing w:after="0" w:line="240" w:lineRule="auto"/>
        <w:jc w:val="center"/>
        <w:rPr>
          <w:rFonts w:ascii="Times New Roman" w:hAnsi="Times New Roman"/>
          <w:sz w:val="24"/>
          <w:szCs w:val="24"/>
        </w:rPr>
      </w:pPr>
    </w:p>
    <w:p w:rsidR="00E75E60" w:rsidRPr="00955FF1" w:rsidRDefault="00E75E60" w:rsidP="00E75E60">
      <w:pPr>
        <w:spacing w:after="0" w:line="240" w:lineRule="auto"/>
        <w:jc w:val="center"/>
        <w:rPr>
          <w:rFonts w:ascii="Times New Roman" w:hAnsi="Times New Roman"/>
          <w:sz w:val="24"/>
          <w:szCs w:val="24"/>
          <w:lang w:val="ms-MY"/>
        </w:rPr>
      </w:pPr>
      <w:r w:rsidRPr="00955FF1">
        <w:rPr>
          <w:rFonts w:ascii="Times New Roman" w:hAnsi="Times New Roman"/>
          <w:sz w:val="24"/>
          <w:szCs w:val="24"/>
        </w:rPr>
        <w:t>(</w:t>
      </w:r>
      <w:r w:rsidRPr="00955FF1">
        <w:rPr>
          <w:rFonts w:ascii="Times New Roman" w:hAnsi="Times New Roman"/>
          <w:sz w:val="24"/>
          <w:szCs w:val="24"/>
          <w:lang w:val="ms-MY"/>
        </w:rPr>
        <w:t>MgCl</w:t>
      </w:r>
      <w:r w:rsidRPr="00955FF1">
        <w:rPr>
          <w:rFonts w:ascii="Times New Roman" w:hAnsi="Times New Roman"/>
          <w:sz w:val="24"/>
          <w:szCs w:val="24"/>
          <w:vertAlign w:val="subscript"/>
          <w:lang w:val="ms-MY"/>
        </w:rPr>
        <w:t>2</w:t>
      </w:r>
      <w:r w:rsidRPr="00955FF1">
        <w:rPr>
          <w:rFonts w:ascii="Times New Roman" w:hAnsi="Times New Roman"/>
          <w:sz w:val="24"/>
          <w:szCs w:val="24"/>
          <w:lang w:val="ms-MY"/>
        </w:rPr>
        <w:t xml:space="preserve"> Sebagai Pemangkin Cekap dan Murah untuk Sintesis Terbitan 1,4-Dihidropiridina)</w:t>
      </w:r>
    </w:p>
    <w:p w:rsidR="00E75E60" w:rsidRPr="00955FF1" w:rsidRDefault="00E75E60" w:rsidP="00E75E60">
      <w:pPr>
        <w:spacing w:after="0" w:line="240" w:lineRule="auto"/>
        <w:jc w:val="center"/>
        <w:rPr>
          <w:rFonts w:ascii="Times New Roman" w:hAnsi="Times New Roman"/>
          <w:sz w:val="20"/>
          <w:szCs w:val="20"/>
          <w:lang w:val="ms-MY"/>
        </w:rPr>
      </w:pPr>
    </w:p>
    <w:p w:rsidR="00E75E60" w:rsidRDefault="00E75E60" w:rsidP="00E75E60">
      <w:pPr>
        <w:spacing w:after="0" w:line="240" w:lineRule="auto"/>
        <w:jc w:val="center"/>
        <w:rPr>
          <w:rFonts w:ascii="Times New Roman" w:hAnsi="Times New Roman"/>
          <w:sz w:val="20"/>
          <w:szCs w:val="20"/>
        </w:rPr>
      </w:pPr>
      <w:r w:rsidRPr="0065019E">
        <w:rPr>
          <w:rFonts w:ascii="Times New Roman" w:hAnsi="Times New Roman"/>
          <w:sz w:val="20"/>
          <w:szCs w:val="20"/>
        </w:rPr>
        <w:t>Siti Nur Aqlili Riana Mohd Asseri</w:t>
      </w:r>
      <w:r w:rsidRPr="0065019E">
        <w:rPr>
          <w:rFonts w:ascii="Times New Roman" w:hAnsi="Times New Roman"/>
          <w:sz w:val="20"/>
          <w:szCs w:val="20"/>
          <w:vertAlign w:val="superscript"/>
        </w:rPr>
        <w:t>1</w:t>
      </w:r>
      <w:r w:rsidRPr="0065019E">
        <w:rPr>
          <w:rFonts w:ascii="Times New Roman" w:hAnsi="Times New Roman"/>
          <w:sz w:val="20"/>
          <w:szCs w:val="20"/>
        </w:rPr>
        <w:t>,</w:t>
      </w:r>
      <w:r>
        <w:rPr>
          <w:rFonts w:ascii="Times New Roman" w:hAnsi="Times New Roman"/>
          <w:sz w:val="20"/>
          <w:szCs w:val="20"/>
        </w:rPr>
        <w:t xml:space="preserve"> </w:t>
      </w:r>
      <w:r w:rsidRPr="0065019E">
        <w:rPr>
          <w:rFonts w:ascii="Times New Roman" w:hAnsi="Times New Roman"/>
          <w:sz w:val="20"/>
          <w:szCs w:val="20"/>
        </w:rPr>
        <w:t>Sian Hui</w:t>
      </w:r>
      <w:r w:rsidR="00C221FB">
        <w:rPr>
          <w:rFonts w:ascii="Times New Roman" w:hAnsi="Times New Roman"/>
          <w:sz w:val="20"/>
          <w:szCs w:val="20"/>
        </w:rPr>
        <w:t xml:space="preserve"> Tan</w:t>
      </w:r>
      <w:r w:rsidRPr="0065019E">
        <w:rPr>
          <w:rFonts w:ascii="Times New Roman" w:hAnsi="Times New Roman"/>
          <w:sz w:val="20"/>
          <w:szCs w:val="20"/>
          <w:vertAlign w:val="superscript"/>
        </w:rPr>
        <w:t>1</w:t>
      </w:r>
      <w:r w:rsidRPr="0065019E">
        <w:rPr>
          <w:rFonts w:ascii="Times New Roman" w:hAnsi="Times New Roman"/>
          <w:sz w:val="20"/>
          <w:szCs w:val="20"/>
        </w:rPr>
        <w:t>, Wan Nurul Khursyiah Wan Mohamad</w:t>
      </w:r>
      <w:r w:rsidRPr="0065019E">
        <w:rPr>
          <w:rFonts w:ascii="Times New Roman" w:hAnsi="Times New Roman"/>
          <w:sz w:val="20"/>
          <w:szCs w:val="20"/>
          <w:vertAlign w:val="superscript"/>
        </w:rPr>
        <w:t>1</w:t>
      </w:r>
      <w:r w:rsidR="00C221FB">
        <w:rPr>
          <w:rFonts w:ascii="Times New Roman" w:hAnsi="Times New Roman"/>
          <w:sz w:val="20"/>
          <w:szCs w:val="20"/>
        </w:rPr>
        <w:t xml:space="preserve">, </w:t>
      </w:r>
      <w:r w:rsidRPr="0065019E">
        <w:rPr>
          <w:rFonts w:ascii="Times New Roman" w:hAnsi="Times New Roman"/>
          <w:sz w:val="20"/>
          <w:szCs w:val="20"/>
        </w:rPr>
        <w:t>Seng Chee</w:t>
      </w:r>
      <w:r w:rsidR="00C221FB">
        <w:rPr>
          <w:rFonts w:ascii="Times New Roman" w:hAnsi="Times New Roman"/>
          <w:sz w:val="20"/>
          <w:szCs w:val="20"/>
        </w:rPr>
        <w:t xml:space="preserve"> P</w:t>
      </w:r>
      <w:bookmarkStart w:id="0" w:name="_GoBack"/>
      <w:bookmarkEnd w:id="0"/>
      <w:r w:rsidR="00C221FB">
        <w:rPr>
          <w:rFonts w:ascii="Times New Roman" w:hAnsi="Times New Roman"/>
          <w:sz w:val="20"/>
          <w:szCs w:val="20"/>
        </w:rPr>
        <w:t>oh</w:t>
      </w:r>
      <w:r w:rsidRPr="0065019E">
        <w:rPr>
          <w:rFonts w:ascii="Times New Roman" w:hAnsi="Times New Roman"/>
          <w:sz w:val="20"/>
          <w:szCs w:val="20"/>
          <w:vertAlign w:val="superscript"/>
        </w:rPr>
        <w:t>1</w:t>
      </w:r>
      <w:r>
        <w:rPr>
          <w:rFonts w:ascii="Times New Roman" w:hAnsi="Times New Roman"/>
          <w:sz w:val="20"/>
          <w:szCs w:val="20"/>
        </w:rPr>
        <w:t xml:space="preserve">, </w:t>
      </w:r>
    </w:p>
    <w:p w:rsidR="00E75E60" w:rsidRPr="0065019E" w:rsidRDefault="00E75E60" w:rsidP="00E75E60">
      <w:pPr>
        <w:spacing w:after="0" w:line="240" w:lineRule="auto"/>
        <w:jc w:val="center"/>
        <w:rPr>
          <w:rFonts w:ascii="Times New Roman" w:hAnsi="Times New Roman"/>
          <w:sz w:val="20"/>
          <w:szCs w:val="20"/>
        </w:rPr>
      </w:pPr>
      <w:r w:rsidRPr="0065019E">
        <w:rPr>
          <w:rFonts w:ascii="Times New Roman" w:hAnsi="Times New Roman"/>
          <w:sz w:val="20"/>
          <w:szCs w:val="20"/>
        </w:rPr>
        <w:t>Poh Wai Chia</w:t>
      </w:r>
      <w:r w:rsidRPr="0065019E">
        <w:rPr>
          <w:rFonts w:ascii="Times New Roman" w:hAnsi="Times New Roman"/>
          <w:sz w:val="20"/>
          <w:szCs w:val="20"/>
          <w:vertAlign w:val="superscript"/>
        </w:rPr>
        <w:t>1,2</w:t>
      </w:r>
      <w:r w:rsidRPr="0065019E">
        <w:rPr>
          <w:rFonts w:ascii="Times New Roman" w:hAnsi="Times New Roman"/>
          <w:sz w:val="20"/>
          <w:szCs w:val="20"/>
        </w:rPr>
        <w:t>*</w:t>
      </w:r>
      <w:r>
        <w:rPr>
          <w:rFonts w:ascii="Times New Roman" w:hAnsi="Times New Roman"/>
          <w:sz w:val="20"/>
          <w:szCs w:val="20"/>
        </w:rPr>
        <w:t xml:space="preserve">, </w:t>
      </w:r>
      <w:r w:rsidRPr="0065019E">
        <w:rPr>
          <w:rFonts w:ascii="Times New Roman" w:hAnsi="Times New Roman"/>
          <w:sz w:val="20"/>
          <w:szCs w:val="20"/>
        </w:rPr>
        <w:t>Su-Yin Kan</w:t>
      </w:r>
      <w:r w:rsidRPr="0065019E">
        <w:rPr>
          <w:rFonts w:ascii="Times New Roman" w:hAnsi="Times New Roman"/>
          <w:sz w:val="20"/>
          <w:szCs w:val="20"/>
          <w:vertAlign w:val="superscript"/>
        </w:rPr>
        <w:t>3</w:t>
      </w:r>
      <w:r w:rsidRPr="0065019E">
        <w:rPr>
          <w:rFonts w:ascii="Times New Roman" w:hAnsi="Times New Roman"/>
          <w:sz w:val="20"/>
          <w:szCs w:val="20"/>
        </w:rPr>
        <w:t>, Tse Seng Chuah</w:t>
      </w:r>
      <w:r w:rsidRPr="0065019E">
        <w:rPr>
          <w:rFonts w:ascii="Times New Roman" w:hAnsi="Times New Roman"/>
          <w:sz w:val="20"/>
          <w:szCs w:val="20"/>
          <w:vertAlign w:val="superscript"/>
        </w:rPr>
        <w:t>4</w:t>
      </w:r>
    </w:p>
    <w:p w:rsidR="00E75E60" w:rsidRPr="00E75E60" w:rsidRDefault="00E75E60" w:rsidP="00E75E60">
      <w:pPr>
        <w:spacing w:after="0" w:line="240" w:lineRule="auto"/>
        <w:jc w:val="center"/>
        <w:rPr>
          <w:rFonts w:ascii="Times New Roman" w:hAnsi="Times New Roman"/>
          <w:noProof/>
          <w:sz w:val="20"/>
          <w:szCs w:val="20"/>
          <w:lang w:bidi="ar-SA"/>
        </w:rPr>
      </w:pPr>
    </w:p>
    <w:p w:rsidR="00E75E60" w:rsidRPr="00E75E60" w:rsidRDefault="00E75E60" w:rsidP="00E75E60">
      <w:pPr>
        <w:spacing w:after="0" w:line="240" w:lineRule="auto"/>
        <w:jc w:val="center"/>
        <w:rPr>
          <w:rFonts w:ascii="Times New Roman" w:hAnsi="Times New Roman"/>
          <w:i/>
          <w:sz w:val="20"/>
          <w:szCs w:val="20"/>
        </w:rPr>
      </w:pPr>
      <w:r w:rsidRPr="00E75E60">
        <w:rPr>
          <w:rFonts w:ascii="Times New Roman" w:hAnsi="Times New Roman"/>
          <w:i/>
          <w:sz w:val="20"/>
          <w:szCs w:val="20"/>
          <w:vertAlign w:val="superscript"/>
        </w:rPr>
        <w:t>1</w:t>
      </w:r>
      <w:r w:rsidRPr="00E75E60">
        <w:rPr>
          <w:rFonts w:ascii="Times New Roman" w:hAnsi="Times New Roman"/>
          <w:i/>
          <w:sz w:val="20"/>
          <w:szCs w:val="20"/>
        </w:rPr>
        <w:t>School of Marine Science and Environment</w:t>
      </w:r>
    </w:p>
    <w:p w:rsidR="00E75E60" w:rsidRPr="00E75E60" w:rsidRDefault="00E75E60" w:rsidP="00E75E60">
      <w:pPr>
        <w:spacing w:after="0" w:line="240" w:lineRule="auto"/>
        <w:jc w:val="center"/>
        <w:rPr>
          <w:rFonts w:ascii="Times New Roman" w:hAnsi="Times New Roman"/>
          <w:i/>
          <w:sz w:val="20"/>
          <w:szCs w:val="20"/>
        </w:rPr>
      </w:pPr>
      <w:r w:rsidRPr="00E75E60">
        <w:rPr>
          <w:rFonts w:ascii="Times New Roman" w:hAnsi="Times New Roman"/>
          <w:i/>
          <w:sz w:val="20"/>
          <w:szCs w:val="20"/>
          <w:vertAlign w:val="superscript"/>
        </w:rPr>
        <w:t>2</w:t>
      </w:r>
      <w:r w:rsidRPr="00E75E60">
        <w:rPr>
          <w:rFonts w:ascii="Times New Roman" w:hAnsi="Times New Roman"/>
          <w:i/>
          <w:sz w:val="20"/>
          <w:szCs w:val="20"/>
        </w:rPr>
        <w:t>Institute Marine Biotechnology</w:t>
      </w:r>
    </w:p>
    <w:p w:rsidR="00E75E60" w:rsidRPr="00E75E60" w:rsidRDefault="00E75E60" w:rsidP="00E75E60">
      <w:pPr>
        <w:spacing w:after="0" w:line="240" w:lineRule="auto"/>
        <w:jc w:val="center"/>
        <w:rPr>
          <w:rFonts w:ascii="Times New Roman" w:hAnsi="Times New Roman"/>
          <w:i/>
          <w:sz w:val="20"/>
          <w:szCs w:val="20"/>
        </w:rPr>
      </w:pPr>
      <w:r w:rsidRPr="00E75E60">
        <w:rPr>
          <w:rFonts w:ascii="Times New Roman" w:hAnsi="Times New Roman"/>
          <w:i/>
          <w:sz w:val="20"/>
          <w:szCs w:val="20"/>
        </w:rPr>
        <w:t>Universiti Malaysia Terengganu, 21030 Kuala Terengganu, Terengganu, Malaysia</w:t>
      </w:r>
    </w:p>
    <w:p w:rsidR="00E75E60" w:rsidRPr="00E75E60" w:rsidRDefault="00E75E60" w:rsidP="00E75E60">
      <w:pPr>
        <w:spacing w:after="0" w:line="240" w:lineRule="auto"/>
        <w:jc w:val="center"/>
        <w:rPr>
          <w:rFonts w:ascii="Times New Roman" w:hAnsi="Times New Roman"/>
          <w:i/>
          <w:sz w:val="20"/>
          <w:szCs w:val="20"/>
        </w:rPr>
      </w:pPr>
      <w:r w:rsidRPr="00E75E60">
        <w:rPr>
          <w:rFonts w:ascii="Times New Roman" w:hAnsi="Times New Roman"/>
          <w:i/>
          <w:sz w:val="20"/>
          <w:szCs w:val="20"/>
          <w:vertAlign w:val="superscript"/>
        </w:rPr>
        <w:t>3</w:t>
      </w:r>
      <w:r w:rsidRPr="00E75E60">
        <w:rPr>
          <w:rFonts w:ascii="Times New Roman" w:hAnsi="Times New Roman"/>
          <w:i/>
          <w:sz w:val="20"/>
          <w:szCs w:val="20"/>
        </w:rPr>
        <w:t xml:space="preserve">Faculty of Health Sciences, </w:t>
      </w:r>
    </w:p>
    <w:p w:rsidR="00E75E60" w:rsidRPr="00E75E60" w:rsidRDefault="00E75E60" w:rsidP="00E75E60">
      <w:pPr>
        <w:spacing w:after="0" w:line="240" w:lineRule="auto"/>
        <w:jc w:val="center"/>
        <w:rPr>
          <w:rFonts w:ascii="Times New Roman" w:hAnsi="Times New Roman"/>
          <w:i/>
          <w:sz w:val="20"/>
          <w:szCs w:val="20"/>
        </w:rPr>
      </w:pPr>
      <w:r w:rsidRPr="00E75E60">
        <w:rPr>
          <w:rFonts w:ascii="Times New Roman" w:hAnsi="Times New Roman"/>
          <w:i/>
          <w:sz w:val="20"/>
          <w:szCs w:val="20"/>
        </w:rPr>
        <w:t>Universiti Sultan Zainal Abidin, 21300 Kuala Terengganu, Terengganu, Malaysia</w:t>
      </w:r>
    </w:p>
    <w:p w:rsidR="00E75E60" w:rsidRPr="00E75E60" w:rsidRDefault="00E75E60" w:rsidP="00E75E60">
      <w:pPr>
        <w:spacing w:after="0" w:line="240" w:lineRule="auto"/>
        <w:jc w:val="center"/>
        <w:rPr>
          <w:rFonts w:ascii="Times New Roman" w:hAnsi="Times New Roman"/>
          <w:i/>
          <w:sz w:val="20"/>
          <w:szCs w:val="20"/>
        </w:rPr>
      </w:pPr>
      <w:r w:rsidRPr="00E75E60">
        <w:rPr>
          <w:rFonts w:ascii="Times New Roman" w:hAnsi="Times New Roman"/>
          <w:i/>
          <w:sz w:val="20"/>
          <w:szCs w:val="20"/>
        </w:rPr>
        <w:tab/>
      </w:r>
      <w:r w:rsidRPr="00E75E60">
        <w:rPr>
          <w:rFonts w:ascii="Times New Roman" w:hAnsi="Times New Roman"/>
          <w:i/>
          <w:sz w:val="20"/>
          <w:szCs w:val="20"/>
          <w:vertAlign w:val="superscript"/>
        </w:rPr>
        <w:t>4</w:t>
      </w:r>
      <w:r w:rsidRPr="00E75E60">
        <w:rPr>
          <w:rFonts w:ascii="Times New Roman" w:hAnsi="Times New Roman"/>
          <w:i/>
          <w:sz w:val="20"/>
          <w:szCs w:val="20"/>
        </w:rPr>
        <w:t>School of Food Science and Technology,</w:t>
      </w:r>
    </w:p>
    <w:p w:rsidR="00E75E60" w:rsidRPr="00E75E60" w:rsidRDefault="00E75E60" w:rsidP="00E75E60">
      <w:pPr>
        <w:spacing w:after="0" w:line="240" w:lineRule="auto"/>
        <w:jc w:val="center"/>
        <w:rPr>
          <w:rFonts w:ascii="Times New Roman" w:hAnsi="Times New Roman"/>
          <w:i/>
          <w:sz w:val="20"/>
          <w:szCs w:val="20"/>
        </w:rPr>
      </w:pPr>
      <w:r w:rsidRPr="00E75E60">
        <w:rPr>
          <w:rFonts w:ascii="Times New Roman" w:hAnsi="Times New Roman"/>
          <w:i/>
          <w:sz w:val="20"/>
          <w:szCs w:val="20"/>
        </w:rPr>
        <w:t>Universiti Malaysia Terengganu, 21030 Kuala Terengganu, Terengganu, Malaysia</w:t>
      </w:r>
    </w:p>
    <w:p w:rsidR="00E75E60" w:rsidRPr="00E75E60" w:rsidRDefault="00E75E60" w:rsidP="00E75E60">
      <w:pPr>
        <w:spacing w:after="0" w:line="240" w:lineRule="auto"/>
        <w:jc w:val="center"/>
        <w:rPr>
          <w:rFonts w:ascii="Times New Roman" w:hAnsi="Times New Roman"/>
          <w:noProof/>
          <w:sz w:val="20"/>
          <w:szCs w:val="20"/>
          <w:lang w:bidi="ar-SA"/>
        </w:rPr>
      </w:pPr>
    </w:p>
    <w:p w:rsidR="00E75E60" w:rsidRPr="00E75E60" w:rsidRDefault="00E75E60" w:rsidP="00E75E60">
      <w:pPr>
        <w:spacing w:after="0" w:line="240" w:lineRule="auto"/>
        <w:jc w:val="center"/>
        <w:rPr>
          <w:rFonts w:ascii="Times New Roman" w:hAnsi="Times New Roman"/>
          <w:i/>
          <w:noProof/>
          <w:sz w:val="20"/>
          <w:szCs w:val="20"/>
          <w:lang w:bidi="ar-SA"/>
        </w:rPr>
      </w:pPr>
      <w:r w:rsidRPr="00E75E60">
        <w:rPr>
          <w:rFonts w:ascii="Times New Roman" w:hAnsi="Times New Roman"/>
          <w:i/>
          <w:noProof/>
          <w:sz w:val="20"/>
          <w:szCs w:val="20"/>
          <w:lang w:bidi="ar-SA"/>
        </w:rPr>
        <w:t xml:space="preserve">*Corresponding author: </w:t>
      </w:r>
      <w:r w:rsidRPr="00E75E60">
        <w:rPr>
          <w:rFonts w:ascii="Times New Roman" w:hAnsi="Times New Roman"/>
          <w:i/>
          <w:sz w:val="20"/>
          <w:szCs w:val="20"/>
        </w:rPr>
        <w:t>pohwai@umt.edu.my</w:t>
      </w:r>
    </w:p>
    <w:p w:rsidR="00E75E60" w:rsidRPr="00E75E60" w:rsidRDefault="00E75E60" w:rsidP="00E75E60">
      <w:pPr>
        <w:spacing w:after="0" w:line="240" w:lineRule="auto"/>
        <w:jc w:val="center"/>
        <w:rPr>
          <w:rFonts w:ascii="Times New Roman" w:hAnsi="Times New Roman"/>
          <w:noProof/>
          <w:sz w:val="20"/>
          <w:szCs w:val="20"/>
          <w:lang w:bidi="ar-SA"/>
        </w:rPr>
      </w:pPr>
    </w:p>
    <w:p w:rsidR="00E75E60" w:rsidRPr="00E75E60" w:rsidRDefault="00E75E60" w:rsidP="00E75E60">
      <w:pPr>
        <w:spacing w:after="0" w:line="240" w:lineRule="auto"/>
        <w:jc w:val="center"/>
        <w:rPr>
          <w:rFonts w:ascii="Times New Roman" w:hAnsi="Times New Roman"/>
          <w:noProof/>
          <w:sz w:val="20"/>
          <w:szCs w:val="20"/>
          <w:lang w:bidi="ar-SA"/>
        </w:rPr>
      </w:pPr>
    </w:p>
    <w:p w:rsidR="00E75E60" w:rsidRPr="00E75E60" w:rsidRDefault="00E75E60" w:rsidP="00E75E60">
      <w:pPr>
        <w:spacing w:after="0" w:line="240" w:lineRule="auto"/>
        <w:jc w:val="center"/>
        <w:rPr>
          <w:rFonts w:ascii="Times New Roman" w:hAnsi="Times New Roman"/>
          <w:noProof/>
          <w:sz w:val="20"/>
          <w:szCs w:val="20"/>
          <w:lang w:bidi="ar-SA"/>
        </w:rPr>
      </w:pPr>
      <w:r w:rsidRPr="00E75E60">
        <w:rPr>
          <w:rFonts w:ascii="Times New Roman" w:hAnsi="Times New Roman"/>
          <w:noProof/>
          <w:sz w:val="20"/>
          <w:szCs w:val="20"/>
          <w:lang w:bidi="ar-SA"/>
        </w:rPr>
        <w:t>Received: 17 August 2016; Accepted: 25 October 2016</w:t>
      </w:r>
    </w:p>
    <w:p w:rsidR="00E75E60" w:rsidRPr="00E75E60" w:rsidRDefault="00E75E60" w:rsidP="00E75E60">
      <w:pPr>
        <w:spacing w:after="0" w:line="240" w:lineRule="auto"/>
        <w:jc w:val="center"/>
        <w:rPr>
          <w:rFonts w:ascii="Times New Roman" w:hAnsi="Times New Roman"/>
          <w:noProof/>
          <w:sz w:val="20"/>
          <w:szCs w:val="20"/>
          <w:lang w:bidi="ar-SA"/>
        </w:rPr>
      </w:pPr>
    </w:p>
    <w:p w:rsidR="00E75E60" w:rsidRPr="00E75E60" w:rsidRDefault="00E75E60" w:rsidP="00E75E60">
      <w:pPr>
        <w:spacing w:after="0" w:line="240" w:lineRule="auto"/>
        <w:jc w:val="center"/>
        <w:rPr>
          <w:rFonts w:ascii="Times New Roman" w:hAnsi="Times New Roman"/>
          <w:noProof/>
          <w:sz w:val="20"/>
          <w:szCs w:val="20"/>
          <w:lang w:bidi="ar-SA"/>
        </w:rPr>
      </w:pPr>
    </w:p>
    <w:p w:rsidR="00E75E60" w:rsidRPr="00E75E60" w:rsidRDefault="00E75E60" w:rsidP="00E75E60">
      <w:pPr>
        <w:spacing w:after="0" w:line="240" w:lineRule="auto"/>
        <w:jc w:val="center"/>
        <w:rPr>
          <w:rFonts w:ascii="Times New Roman" w:hAnsi="Times New Roman"/>
          <w:b/>
          <w:noProof/>
          <w:sz w:val="20"/>
          <w:szCs w:val="20"/>
          <w:lang w:bidi="ar-SA"/>
        </w:rPr>
      </w:pPr>
      <w:r w:rsidRPr="00E75E60">
        <w:rPr>
          <w:rFonts w:ascii="Times New Roman" w:hAnsi="Times New Roman"/>
          <w:b/>
          <w:noProof/>
          <w:sz w:val="20"/>
          <w:szCs w:val="20"/>
          <w:lang w:bidi="ar-SA"/>
        </w:rPr>
        <w:t>Abstract</w:t>
      </w:r>
    </w:p>
    <w:p w:rsidR="00E75E60" w:rsidRPr="00E75E60" w:rsidRDefault="00E75E60" w:rsidP="00E75E60">
      <w:pPr>
        <w:spacing w:after="0" w:line="240" w:lineRule="auto"/>
        <w:jc w:val="both"/>
        <w:rPr>
          <w:rFonts w:ascii="Times New Roman" w:hAnsi="Times New Roman"/>
          <w:sz w:val="20"/>
          <w:szCs w:val="20"/>
        </w:rPr>
      </w:pPr>
      <w:r w:rsidRPr="00E75E60">
        <w:rPr>
          <w:rFonts w:ascii="Times New Roman" w:hAnsi="Times New Roman"/>
          <w:sz w:val="20"/>
          <w:szCs w:val="20"/>
        </w:rPr>
        <w:t>The synthesis of 1,4-dihydropyridine (1,4-DHP) derivatives in the presence of alkaline earth metal chlorides was reported. Specifically, the MgCl</w:t>
      </w:r>
      <w:r w:rsidRPr="00E75E60">
        <w:rPr>
          <w:rFonts w:ascii="Times New Roman" w:hAnsi="Times New Roman"/>
          <w:sz w:val="20"/>
          <w:szCs w:val="20"/>
          <w:vertAlign w:val="subscript"/>
        </w:rPr>
        <w:t>2</w:t>
      </w:r>
      <w:r w:rsidRPr="00E75E60">
        <w:rPr>
          <w:rFonts w:ascii="Times New Roman" w:hAnsi="Times New Roman"/>
          <w:sz w:val="20"/>
          <w:szCs w:val="20"/>
        </w:rPr>
        <w:t xml:space="preserve"> catalyzed the synthesis of 1,4-DHP derivatives in good yields, ranging from 69 – 87%. The Mg</w:t>
      </w:r>
      <w:r w:rsidRPr="00E75E60">
        <w:rPr>
          <w:rFonts w:ascii="Times New Roman" w:hAnsi="Times New Roman"/>
          <w:sz w:val="20"/>
          <w:szCs w:val="20"/>
          <w:vertAlign w:val="superscript"/>
        </w:rPr>
        <w:t>2+</w:t>
      </w:r>
      <w:r w:rsidRPr="00E75E60">
        <w:rPr>
          <w:rFonts w:ascii="Times New Roman" w:hAnsi="Times New Roman"/>
          <w:sz w:val="20"/>
          <w:szCs w:val="20"/>
        </w:rPr>
        <w:t xml:space="preserve"> serves as the Lewis acid catalyst in the formation of 1,4-DHP and the proposed mechanism of the formation of 1,4-DHP was elaborated in this manuscript. There are many advantages employing MgCl</w:t>
      </w:r>
      <w:r w:rsidRPr="00E75E60">
        <w:rPr>
          <w:rFonts w:ascii="Times New Roman" w:hAnsi="Times New Roman"/>
          <w:sz w:val="20"/>
          <w:szCs w:val="20"/>
          <w:vertAlign w:val="subscript"/>
        </w:rPr>
        <w:t>2</w:t>
      </w:r>
      <w:r w:rsidRPr="00E75E60">
        <w:rPr>
          <w:rFonts w:ascii="Times New Roman" w:hAnsi="Times New Roman"/>
          <w:sz w:val="20"/>
          <w:szCs w:val="20"/>
        </w:rPr>
        <w:t xml:space="preserve"> as a catalyst in this study, including inexpensive, ubiquitous availability of this metal, simple filtration protocol, which has spark considerable interest in the use of this catalyst in promoting organic reactions.</w:t>
      </w:r>
    </w:p>
    <w:p w:rsidR="00E75E60" w:rsidRPr="00E75E60" w:rsidRDefault="00E75E60" w:rsidP="00E75E60">
      <w:pPr>
        <w:spacing w:after="0" w:line="240" w:lineRule="auto"/>
        <w:jc w:val="both"/>
        <w:rPr>
          <w:rFonts w:ascii="Times New Roman" w:hAnsi="Times New Roman"/>
          <w:sz w:val="20"/>
          <w:szCs w:val="20"/>
        </w:rPr>
      </w:pPr>
    </w:p>
    <w:p w:rsidR="00E75E60" w:rsidRPr="00E75E60" w:rsidRDefault="00E75E60" w:rsidP="00E75E60">
      <w:pPr>
        <w:spacing w:after="0" w:line="240" w:lineRule="auto"/>
        <w:jc w:val="both"/>
        <w:rPr>
          <w:rFonts w:ascii="Times New Roman" w:hAnsi="Times New Roman"/>
          <w:sz w:val="20"/>
          <w:szCs w:val="20"/>
        </w:rPr>
      </w:pPr>
      <w:r w:rsidRPr="00E75E60">
        <w:rPr>
          <w:rFonts w:ascii="Times New Roman" w:hAnsi="Times New Roman"/>
          <w:b/>
          <w:sz w:val="20"/>
          <w:szCs w:val="20"/>
        </w:rPr>
        <w:t>Keywords</w:t>
      </w:r>
      <w:r w:rsidRPr="00E75E60">
        <w:rPr>
          <w:rFonts w:ascii="Times New Roman" w:hAnsi="Times New Roman"/>
          <w:sz w:val="20"/>
          <w:szCs w:val="20"/>
        </w:rPr>
        <w:t>:  alkaline earth metal, magnesium chloride; 1,4-dihydropyridine</w:t>
      </w:r>
    </w:p>
    <w:p w:rsidR="00E75E60" w:rsidRPr="00E75E60" w:rsidRDefault="00E75E60" w:rsidP="00E75E60">
      <w:pPr>
        <w:spacing w:after="0" w:line="240" w:lineRule="auto"/>
        <w:jc w:val="center"/>
        <w:rPr>
          <w:rFonts w:ascii="Times New Roman" w:hAnsi="Times New Roman"/>
          <w:sz w:val="20"/>
          <w:szCs w:val="20"/>
        </w:rPr>
      </w:pPr>
    </w:p>
    <w:p w:rsidR="00E75E60" w:rsidRPr="00E75E60" w:rsidRDefault="00E75E60" w:rsidP="00E75E60">
      <w:pPr>
        <w:spacing w:after="0" w:line="240" w:lineRule="auto"/>
        <w:jc w:val="center"/>
        <w:rPr>
          <w:rFonts w:ascii="Times New Roman" w:hAnsi="Times New Roman"/>
          <w:b/>
          <w:noProof/>
          <w:sz w:val="20"/>
          <w:szCs w:val="20"/>
          <w:lang w:val="ms-MY"/>
        </w:rPr>
      </w:pPr>
      <w:r w:rsidRPr="00E75E60">
        <w:rPr>
          <w:rFonts w:ascii="Times New Roman" w:hAnsi="Times New Roman"/>
          <w:b/>
          <w:noProof/>
          <w:sz w:val="20"/>
          <w:szCs w:val="20"/>
          <w:lang w:val="ms-MY"/>
        </w:rPr>
        <w:t>Abstrak</w:t>
      </w:r>
    </w:p>
    <w:p w:rsidR="00E75E60" w:rsidRPr="00E75E60" w:rsidRDefault="00E75E60" w:rsidP="00E75E60">
      <w:pPr>
        <w:spacing w:after="0" w:line="240" w:lineRule="auto"/>
        <w:jc w:val="both"/>
        <w:rPr>
          <w:rFonts w:ascii="Times New Roman" w:hAnsi="Times New Roman"/>
          <w:noProof/>
          <w:sz w:val="20"/>
          <w:szCs w:val="20"/>
          <w:lang w:val="ms-MY"/>
        </w:rPr>
      </w:pPr>
      <w:r w:rsidRPr="00E75E60">
        <w:rPr>
          <w:rFonts w:ascii="Times New Roman" w:hAnsi="Times New Roman"/>
          <w:noProof/>
          <w:sz w:val="20"/>
          <w:szCs w:val="20"/>
          <w:lang w:val="ms-MY"/>
        </w:rPr>
        <w:t>Sintesis terbitan 1,4-dihidropiridina (1,4-DHP) dalam kehadiran logam alkali bumi dibincangkan dalam artikel ini. Secara khususnya, sintesis terbitan 1,4-DHP melalui pemangkin MgCl</w:t>
      </w:r>
      <w:r w:rsidRPr="00E75E60">
        <w:rPr>
          <w:rFonts w:ascii="Times New Roman" w:hAnsi="Times New Roman"/>
          <w:noProof/>
          <w:sz w:val="20"/>
          <w:szCs w:val="20"/>
          <w:vertAlign w:val="subscript"/>
          <w:lang w:val="ms-MY"/>
        </w:rPr>
        <w:t xml:space="preserve">2 </w:t>
      </w:r>
      <w:r w:rsidRPr="00E75E60">
        <w:rPr>
          <w:rFonts w:ascii="Times New Roman" w:hAnsi="Times New Roman"/>
          <w:noProof/>
          <w:sz w:val="20"/>
          <w:szCs w:val="20"/>
          <w:lang w:val="ms-MY"/>
        </w:rPr>
        <w:t>memberi peratusan hasil yang baik, dalam lingkungan 69 –87%. Ion Mg</w:t>
      </w:r>
      <w:r w:rsidRPr="00E75E60">
        <w:rPr>
          <w:rFonts w:ascii="Times New Roman" w:hAnsi="Times New Roman"/>
          <w:noProof/>
          <w:sz w:val="20"/>
          <w:szCs w:val="20"/>
          <w:vertAlign w:val="superscript"/>
          <w:lang w:val="ms-MY"/>
        </w:rPr>
        <w:t>2+</w:t>
      </w:r>
      <w:r w:rsidRPr="00E75E60">
        <w:rPr>
          <w:rFonts w:ascii="Times New Roman" w:hAnsi="Times New Roman"/>
          <w:noProof/>
          <w:sz w:val="20"/>
          <w:szCs w:val="20"/>
          <w:lang w:val="ms-MY"/>
        </w:rPr>
        <w:t xml:space="preserve"> bertindak sebagai pemangkin asid Lewis dalam pembentukan 1,4-DHP dan cadangan mekanisma terhadap pembentukan 1,4-DHP telah dihuraikan dalam manuskrip ini. Terdapat banyak kelebihan menggunakan MgCl</w:t>
      </w:r>
      <w:r w:rsidRPr="00E75E60">
        <w:rPr>
          <w:rFonts w:ascii="Times New Roman" w:hAnsi="Times New Roman"/>
          <w:noProof/>
          <w:sz w:val="20"/>
          <w:szCs w:val="20"/>
          <w:vertAlign w:val="subscript"/>
          <w:lang w:val="ms-MY"/>
        </w:rPr>
        <w:t>2</w:t>
      </w:r>
      <w:r w:rsidRPr="00E75E60">
        <w:rPr>
          <w:rFonts w:ascii="Times New Roman" w:hAnsi="Times New Roman"/>
          <w:noProof/>
          <w:sz w:val="20"/>
          <w:szCs w:val="20"/>
          <w:lang w:val="ms-MY"/>
        </w:rPr>
        <w:t xml:space="preserve"> sebagai pemangkin dalam kajian ini, termasuk kos yang murah, ketersediaan logam ini, protokol pengekstrakan yang mudah, yang mana ini telah mencetuskan minat yang besar dalam penggunaan pemangkin ini dalam pelbagai tindak balas organik.</w:t>
      </w:r>
    </w:p>
    <w:p w:rsidR="00E75E60" w:rsidRPr="00E75E60" w:rsidRDefault="00E75E60" w:rsidP="00E75E60">
      <w:pPr>
        <w:spacing w:after="0" w:line="240" w:lineRule="auto"/>
        <w:jc w:val="both"/>
        <w:rPr>
          <w:rFonts w:ascii="Times New Roman" w:hAnsi="Times New Roman"/>
          <w:noProof/>
          <w:sz w:val="20"/>
          <w:szCs w:val="20"/>
          <w:lang w:val="ms-MY"/>
        </w:rPr>
      </w:pPr>
    </w:p>
    <w:p w:rsidR="00B30350" w:rsidRDefault="00E75E60" w:rsidP="00E75E60">
      <w:pPr>
        <w:spacing w:after="0" w:line="240" w:lineRule="auto"/>
        <w:jc w:val="both"/>
        <w:rPr>
          <w:rFonts w:ascii="Times New Roman" w:hAnsi="Times New Roman"/>
          <w:noProof/>
          <w:sz w:val="20"/>
          <w:szCs w:val="20"/>
          <w:lang w:val="ms-MY"/>
        </w:rPr>
      </w:pPr>
      <w:r w:rsidRPr="00E75E60">
        <w:rPr>
          <w:rFonts w:ascii="Times New Roman" w:hAnsi="Times New Roman"/>
          <w:b/>
          <w:noProof/>
          <w:sz w:val="20"/>
          <w:szCs w:val="20"/>
          <w:lang w:val="ms-MY"/>
        </w:rPr>
        <w:t>Kata kunci</w:t>
      </w:r>
      <w:r w:rsidRPr="00E75E60">
        <w:rPr>
          <w:rFonts w:ascii="Times New Roman" w:hAnsi="Times New Roman"/>
          <w:noProof/>
          <w:sz w:val="20"/>
          <w:szCs w:val="20"/>
          <w:lang w:val="ms-MY"/>
        </w:rPr>
        <w:t>:  logam alkali bumi, magnesium klorida, 1,4-dihydropiridin</w:t>
      </w:r>
    </w:p>
    <w:p w:rsidR="00E75E60" w:rsidRDefault="00E75E60" w:rsidP="00E75E60">
      <w:pPr>
        <w:spacing w:after="0" w:line="240" w:lineRule="auto"/>
        <w:jc w:val="both"/>
        <w:rPr>
          <w:rFonts w:ascii="Times New Roman" w:hAnsi="Times New Roman"/>
          <w:noProof/>
          <w:sz w:val="20"/>
          <w:szCs w:val="20"/>
          <w:lang w:val="ms-MY"/>
        </w:rPr>
      </w:pPr>
    </w:p>
    <w:p w:rsidR="00E75E60" w:rsidRPr="00F447A7" w:rsidRDefault="00E75E60" w:rsidP="00E75E60">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E75E60" w:rsidRPr="00370E2E" w:rsidRDefault="00E75E60" w:rsidP="00E75E60">
      <w:pPr>
        <w:pStyle w:val="ListParagraph"/>
        <w:numPr>
          <w:ilvl w:val="0"/>
          <w:numId w:val="1"/>
        </w:numPr>
        <w:spacing w:after="0" w:line="240" w:lineRule="auto"/>
        <w:ind w:left="360"/>
        <w:contextualSpacing w:val="0"/>
        <w:jc w:val="both"/>
        <w:rPr>
          <w:rFonts w:ascii="Times New Roman" w:hAnsi="Times New Roman"/>
          <w:bCs/>
          <w:sz w:val="20"/>
          <w:szCs w:val="20"/>
        </w:rPr>
      </w:pPr>
      <w:r w:rsidRPr="00370E2E">
        <w:rPr>
          <w:rFonts w:ascii="Times New Roman" w:hAnsi="Times New Roman"/>
          <w:bCs/>
          <w:sz w:val="20"/>
          <w:szCs w:val="20"/>
        </w:rPr>
        <w:t xml:space="preserve">Stone, P. H., Antman, E. M., Muller, J. E. and Braunwald, E. (1980). Calcium channel blocking agents in the treatment of cardiovascular disorders. Part II: Hemodynamic effects and clinical applications. </w:t>
      </w:r>
      <w:r w:rsidRPr="00370E2E">
        <w:rPr>
          <w:rFonts w:ascii="Times New Roman" w:hAnsi="Times New Roman"/>
          <w:bCs/>
          <w:i/>
          <w:sz w:val="20"/>
          <w:szCs w:val="20"/>
        </w:rPr>
        <w:t>Annals of Internal Medicine</w:t>
      </w:r>
      <w:r w:rsidRPr="00370E2E">
        <w:rPr>
          <w:rFonts w:ascii="Times New Roman" w:hAnsi="Times New Roman"/>
          <w:bCs/>
          <w:sz w:val="20"/>
          <w:szCs w:val="20"/>
        </w:rPr>
        <w:t>, 93(6): 886 – 904.</w:t>
      </w:r>
    </w:p>
    <w:p w:rsidR="00E75E60" w:rsidRPr="00370E2E" w:rsidRDefault="00E75E60" w:rsidP="00E75E60">
      <w:pPr>
        <w:pStyle w:val="ListParagraph"/>
        <w:numPr>
          <w:ilvl w:val="0"/>
          <w:numId w:val="1"/>
        </w:numPr>
        <w:spacing w:after="0" w:line="240" w:lineRule="auto"/>
        <w:ind w:left="360"/>
        <w:contextualSpacing w:val="0"/>
        <w:jc w:val="both"/>
        <w:rPr>
          <w:rFonts w:ascii="Times New Roman" w:hAnsi="Times New Roman"/>
          <w:bCs/>
          <w:sz w:val="20"/>
          <w:szCs w:val="20"/>
        </w:rPr>
      </w:pPr>
      <w:r w:rsidRPr="00370E2E">
        <w:rPr>
          <w:rFonts w:ascii="Times New Roman" w:hAnsi="Times New Roman"/>
          <w:bCs/>
          <w:sz w:val="20"/>
          <w:szCs w:val="20"/>
        </w:rPr>
        <w:lastRenderedPageBreak/>
        <w:t xml:space="preserve">Shan, R., Velazquez, C. and Knaus, E. (2004). Syntheses, calcium channel agonist-antagonist modulation activities, and nitric oxide release studies of nitrooxyalkyl 1,4-dihydro-2,6-dimethyl-3-nitro-4-(2,1,3-benzoxadiazol-4-yl) pyridine-5-carboxylate racemates, enantiomers, and diastereomers. </w:t>
      </w:r>
      <w:r w:rsidRPr="00370E2E">
        <w:rPr>
          <w:rFonts w:ascii="Times New Roman" w:hAnsi="Times New Roman"/>
          <w:bCs/>
          <w:i/>
          <w:sz w:val="20"/>
          <w:szCs w:val="20"/>
        </w:rPr>
        <w:t>Journal of Medicinal Chemistry</w:t>
      </w:r>
      <w:r w:rsidRPr="00370E2E">
        <w:rPr>
          <w:rFonts w:ascii="Times New Roman" w:hAnsi="Times New Roman"/>
          <w:bCs/>
          <w:sz w:val="20"/>
          <w:szCs w:val="20"/>
        </w:rPr>
        <w:t>, 47(1): 254 – 261.</w:t>
      </w:r>
    </w:p>
    <w:p w:rsidR="00E75E60" w:rsidRPr="00370E2E" w:rsidRDefault="00E75E60" w:rsidP="00E75E60">
      <w:pPr>
        <w:pStyle w:val="ListParagraph"/>
        <w:numPr>
          <w:ilvl w:val="0"/>
          <w:numId w:val="1"/>
        </w:numPr>
        <w:spacing w:after="0" w:line="240" w:lineRule="auto"/>
        <w:ind w:left="360"/>
        <w:contextualSpacing w:val="0"/>
        <w:jc w:val="both"/>
        <w:rPr>
          <w:rFonts w:ascii="Times New Roman" w:hAnsi="Times New Roman"/>
          <w:bCs/>
          <w:sz w:val="20"/>
          <w:szCs w:val="20"/>
        </w:rPr>
      </w:pPr>
      <w:r w:rsidRPr="00370E2E">
        <w:rPr>
          <w:rFonts w:ascii="Times New Roman" w:hAnsi="Times New Roman"/>
          <w:bCs/>
          <w:sz w:val="20"/>
          <w:szCs w:val="20"/>
        </w:rPr>
        <w:t xml:space="preserve">Visentin, S., Rolando. B., Stilo. A. D., Frutterro, R., Novara, M., Carbone, E., Roussel, C., Vanthuyne, N. and Gasco, A. (2004). New 1,4-dihydropyridines endowed with NO-donor and calcium channel agonist properties. </w:t>
      </w:r>
      <w:r w:rsidRPr="00370E2E">
        <w:rPr>
          <w:rFonts w:ascii="Times New Roman" w:hAnsi="Times New Roman"/>
          <w:bCs/>
          <w:i/>
          <w:sz w:val="20"/>
          <w:szCs w:val="20"/>
        </w:rPr>
        <w:t>Journal of Medicinal Chemistry</w:t>
      </w:r>
      <w:r w:rsidRPr="00370E2E">
        <w:rPr>
          <w:rFonts w:ascii="Times New Roman" w:hAnsi="Times New Roman"/>
          <w:bCs/>
          <w:sz w:val="20"/>
          <w:szCs w:val="20"/>
        </w:rPr>
        <w:t>, 47(10): 2688 – 2693.</w:t>
      </w:r>
    </w:p>
    <w:p w:rsidR="00E75E60" w:rsidRPr="00370E2E" w:rsidRDefault="00E75E60" w:rsidP="00E75E60">
      <w:pPr>
        <w:pStyle w:val="ListParagraph"/>
        <w:numPr>
          <w:ilvl w:val="0"/>
          <w:numId w:val="1"/>
        </w:numPr>
        <w:spacing w:after="0" w:line="240" w:lineRule="auto"/>
        <w:ind w:left="360"/>
        <w:contextualSpacing w:val="0"/>
        <w:jc w:val="both"/>
        <w:rPr>
          <w:rFonts w:ascii="Times New Roman" w:hAnsi="Times New Roman"/>
          <w:bCs/>
          <w:sz w:val="20"/>
          <w:szCs w:val="20"/>
        </w:rPr>
      </w:pPr>
      <w:r w:rsidRPr="00370E2E">
        <w:rPr>
          <w:rFonts w:ascii="Times New Roman" w:hAnsi="Times New Roman"/>
          <w:bCs/>
          <w:sz w:val="20"/>
          <w:szCs w:val="20"/>
        </w:rPr>
        <w:t xml:space="preserve">Eharkar, P. S., Desai, B., Gaveria, H., Varu, B., Loriya, R., Naliapara, Y., Shah, A. and Kulkarni, V. M. (2002). Three-dimensional quantitative structure-activity relationship of 1,4-dihydropyridines as antitubercular agents. </w:t>
      </w:r>
      <w:r w:rsidRPr="00370E2E">
        <w:rPr>
          <w:rFonts w:ascii="Times New Roman" w:hAnsi="Times New Roman"/>
          <w:bCs/>
          <w:i/>
          <w:sz w:val="20"/>
          <w:szCs w:val="20"/>
        </w:rPr>
        <w:t>Journal of Medicinal Chemistry</w:t>
      </w:r>
      <w:r w:rsidRPr="00370E2E">
        <w:rPr>
          <w:rFonts w:ascii="Times New Roman" w:hAnsi="Times New Roman"/>
          <w:bCs/>
          <w:sz w:val="20"/>
          <w:szCs w:val="20"/>
        </w:rPr>
        <w:t>, 45(22): 4858 – 4867.</w:t>
      </w:r>
    </w:p>
    <w:p w:rsidR="00E75E60" w:rsidRPr="00370E2E" w:rsidRDefault="00E75E60" w:rsidP="00E75E60">
      <w:pPr>
        <w:pStyle w:val="ListParagraph"/>
        <w:numPr>
          <w:ilvl w:val="0"/>
          <w:numId w:val="1"/>
        </w:numPr>
        <w:spacing w:after="0" w:line="240" w:lineRule="auto"/>
        <w:ind w:left="360"/>
        <w:contextualSpacing w:val="0"/>
        <w:jc w:val="both"/>
        <w:rPr>
          <w:rFonts w:ascii="Times New Roman" w:hAnsi="Times New Roman"/>
          <w:bCs/>
          <w:sz w:val="20"/>
          <w:szCs w:val="20"/>
        </w:rPr>
      </w:pPr>
      <w:r w:rsidRPr="00370E2E">
        <w:rPr>
          <w:rFonts w:ascii="Times New Roman" w:hAnsi="Times New Roman"/>
          <w:bCs/>
          <w:sz w:val="20"/>
          <w:szCs w:val="20"/>
        </w:rPr>
        <w:t>Anniyappan, M., Muralidharan, D. and Perumal, P. T. (2002). Synthesis of Hantzsch 1,4- dihydropyridines under microwave irradiation.</w:t>
      </w:r>
      <w:r w:rsidRPr="00370E2E">
        <w:rPr>
          <w:rFonts w:ascii="Times New Roman" w:hAnsi="Times New Roman"/>
          <w:bCs/>
          <w:i/>
          <w:sz w:val="20"/>
          <w:szCs w:val="20"/>
        </w:rPr>
        <w:t xml:space="preserve"> Synthetic Communications,</w:t>
      </w:r>
      <w:r w:rsidRPr="00370E2E">
        <w:rPr>
          <w:rFonts w:ascii="Times New Roman" w:hAnsi="Times New Roman"/>
          <w:bCs/>
          <w:sz w:val="20"/>
          <w:szCs w:val="20"/>
        </w:rPr>
        <w:t xml:space="preserve"> 32(4): 659 – 663. </w:t>
      </w:r>
    </w:p>
    <w:p w:rsidR="00E75E60" w:rsidRPr="00370E2E" w:rsidRDefault="00E75E60" w:rsidP="00E75E60">
      <w:pPr>
        <w:pStyle w:val="ListParagraph"/>
        <w:numPr>
          <w:ilvl w:val="0"/>
          <w:numId w:val="1"/>
        </w:numPr>
        <w:spacing w:after="0" w:line="240" w:lineRule="auto"/>
        <w:ind w:left="360"/>
        <w:contextualSpacing w:val="0"/>
        <w:jc w:val="both"/>
        <w:rPr>
          <w:rFonts w:ascii="Times New Roman" w:hAnsi="Times New Roman"/>
          <w:bCs/>
          <w:sz w:val="20"/>
          <w:szCs w:val="20"/>
        </w:rPr>
      </w:pPr>
      <w:r w:rsidRPr="00370E2E">
        <w:rPr>
          <w:rFonts w:ascii="Times New Roman" w:hAnsi="Times New Roman"/>
          <w:bCs/>
          <w:sz w:val="20"/>
          <w:szCs w:val="20"/>
        </w:rPr>
        <w:t xml:space="preserve">Mekheimer, R. A., Hameed, A. A. and Sadek, K. U. (2008). Solar thermochemical reactions: four-component synthesis of polyhydroquinoline derivatives induced by solar thermal energy. </w:t>
      </w:r>
      <w:r w:rsidRPr="00370E2E">
        <w:rPr>
          <w:rFonts w:ascii="Times New Roman" w:hAnsi="Times New Roman"/>
          <w:bCs/>
          <w:i/>
          <w:sz w:val="20"/>
          <w:szCs w:val="20"/>
        </w:rPr>
        <w:t>Green Chemistry</w:t>
      </w:r>
      <w:r w:rsidRPr="00370E2E">
        <w:rPr>
          <w:rFonts w:ascii="Times New Roman" w:hAnsi="Times New Roman"/>
          <w:bCs/>
          <w:sz w:val="20"/>
          <w:szCs w:val="20"/>
        </w:rPr>
        <w:t>, 10(5): 592 – 593.</w:t>
      </w:r>
    </w:p>
    <w:p w:rsidR="00E75E60" w:rsidRPr="00370E2E" w:rsidRDefault="00E75E60" w:rsidP="00E75E60">
      <w:pPr>
        <w:pStyle w:val="ListParagraph"/>
        <w:numPr>
          <w:ilvl w:val="0"/>
          <w:numId w:val="1"/>
        </w:numPr>
        <w:spacing w:after="0" w:line="240" w:lineRule="auto"/>
        <w:ind w:left="360"/>
        <w:contextualSpacing w:val="0"/>
        <w:jc w:val="both"/>
        <w:rPr>
          <w:rFonts w:ascii="Times New Roman" w:hAnsi="Times New Roman"/>
          <w:bCs/>
          <w:sz w:val="20"/>
          <w:szCs w:val="20"/>
        </w:rPr>
      </w:pPr>
      <w:r w:rsidRPr="00370E2E">
        <w:rPr>
          <w:rFonts w:ascii="Times New Roman" w:hAnsi="Times New Roman"/>
          <w:bCs/>
          <w:sz w:val="20"/>
          <w:szCs w:val="20"/>
        </w:rPr>
        <w:t xml:space="preserve">Shaabani, A., Rezayan, A. H., Rahmati, A. and Sharifi, M. (2006). Ultrasound-accelerated synthesis of 1,4- dihydropyridines in an ionic liquid. </w:t>
      </w:r>
      <w:r w:rsidRPr="00370E2E">
        <w:rPr>
          <w:rFonts w:ascii="Times New Roman" w:hAnsi="Times New Roman"/>
          <w:bCs/>
          <w:i/>
          <w:sz w:val="20"/>
          <w:szCs w:val="20"/>
        </w:rPr>
        <w:t>Monatshefte fur</w:t>
      </w:r>
      <w:r w:rsidRPr="00370E2E">
        <w:rPr>
          <w:rFonts w:ascii="Times New Roman" w:hAnsi="Times New Roman"/>
          <w:bCs/>
          <w:sz w:val="20"/>
          <w:szCs w:val="20"/>
        </w:rPr>
        <w:t xml:space="preserve"> </w:t>
      </w:r>
      <w:r w:rsidRPr="00370E2E">
        <w:rPr>
          <w:rFonts w:ascii="Times New Roman" w:hAnsi="Times New Roman"/>
          <w:bCs/>
          <w:i/>
          <w:sz w:val="20"/>
          <w:szCs w:val="20"/>
        </w:rPr>
        <w:t>Chemie,</w:t>
      </w:r>
      <w:r w:rsidRPr="00370E2E">
        <w:rPr>
          <w:rFonts w:ascii="Times New Roman" w:hAnsi="Times New Roman"/>
          <w:bCs/>
          <w:sz w:val="20"/>
          <w:szCs w:val="20"/>
        </w:rPr>
        <w:t xml:space="preserve"> 137(1): 77 – 81. </w:t>
      </w:r>
    </w:p>
    <w:p w:rsidR="00E75E60" w:rsidRPr="00370E2E" w:rsidRDefault="00E75E60" w:rsidP="00E75E60">
      <w:pPr>
        <w:pStyle w:val="ListParagraph"/>
        <w:numPr>
          <w:ilvl w:val="0"/>
          <w:numId w:val="1"/>
        </w:numPr>
        <w:spacing w:after="0" w:line="240" w:lineRule="auto"/>
        <w:ind w:left="360"/>
        <w:contextualSpacing w:val="0"/>
        <w:jc w:val="both"/>
        <w:rPr>
          <w:rFonts w:ascii="Times New Roman" w:hAnsi="Times New Roman"/>
          <w:bCs/>
          <w:sz w:val="20"/>
          <w:szCs w:val="20"/>
        </w:rPr>
      </w:pPr>
      <w:r w:rsidRPr="00370E2E">
        <w:rPr>
          <w:rFonts w:ascii="Times New Roman" w:hAnsi="Times New Roman"/>
          <w:bCs/>
          <w:sz w:val="20"/>
          <w:szCs w:val="20"/>
        </w:rPr>
        <w:t>Legeay, J., Eyndeb, J.J.V. and Bazureau, J. P. (2005). Ionic liquid phase technology supported the three component synthesis of Hantzsch 1,4-dihydropyridines and Biginelli 3,4-dihydropyrimidin-2(1</w:t>
      </w:r>
      <w:r w:rsidRPr="00370E2E">
        <w:rPr>
          <w:rFonts w:ascii="Times New Roman" w:hAnsi="Times New Roman"/>
          <w:bCs/>
          <w:i/>
          <w:iCs/>
          <w:sz w:val="20"/>
          <w:szCs w:val="20"/>
        </w:rPr>
        <w:t>H</w:t>
      </w:r>
      <w:r w:rsidRPr="00370E2E">
        <w:rPr>
          <w:rFonts w:ascii="Times New Roman" w:hAnsi="Times New Roman"/>
          <w:bCs/>
          <w:sz w:val="20"/>
          <w:szCs w:val="20"/>
        </w:rPr>
        <w:t>)-ones under microwave dielectric heating</w:t>
      </w:r>
      <w:r w:rsidRPr="00370E2E">
        <w:rPr>
          <w:rFonts w:ascii="Times New Roman" w:hAnsi="Times New Roman"/>
          <w:bCs/>
          <w:i/>
          <w:sz w:val="20"/>
          <w:szCs w:val="20"/>
        </w:rPr>
        <w:t>. Tetrahedron</w:t>
      </w:r>
      <w:r w:rsidRPr="00370E2E">
        <w:rPr>
          <w:rFonts w:ascii="Times New Roman" w:hAnsi="Times New Roman"/>
          <w:bCs/>
          <w:sz w:val="20"/>
          <w:szCs w:val="20"/>
        </w:rPr>
        <w:t xml:space="preserve">, 61(52): 12386 – 12397. </w:t>
      </w:r>
    </w:p>
    <w:p w:rsidR="00E75E60" w:rsidRPr="00370E2E" w:rsidRDefault="00E75E60" w:rsidP="00E75E60">
      <w:pPr>
        <w:pStyle w:val="ListParagraph"/>
        <w:numPr>
          <w:ilvl w:val="0"/>
          <w:numId w:val="1"/>
        </w:numPr>
        <w:spacing w:after="0" w:line="240" w:lineRule="auto"/>
        <w:ind w:left="360"/>
        <w:contextualSpacing w:val="0"/>
        <w:jc w:val="both"/>
        <w:rPr>
          <w:rFonts w:ascii="Times New Roman" w:hAnsi="Times New Roman"/>
          <w:bCs/>
          <w:sz w:val="20"/>
          <w:szCs w:val="20"/>
        </w:rPr>
      </w:pPr>
      <w:r w:rsidRPr="00370E2E">
        <w:rPr>
          <w:rFonts w:ascii="Times New Roman" w:hAnsi="Times New Roman"/>
          <w:bCs/>
          <w:sz w:val="20"/>
          <w:szCs w:val="20"/>
        </w:rPr>
        <w:t xml:space="preserve">Sharma, S. D., Hazarika, P. and Konwar, D. (2008). A simple, green and one-pot four component synthesis of 1,4-dihydropyridines and their aromatization. </w:t>
      </w:r>
      <w:r w:rsidRPr="00370E2E">
        <w:rPr>
          <w:rFonts w:ascii="Times New Roman" w:hAnsi="Times New Roman"/>
          <w:bCs/>
          <w:i/>
          <w:sz w:val="20"/>
          <w:szCs w:val="20"/>
        </w:rPr>
        <w:t>Catalysis Communications</w:t>
      </w:r>
      <w:r w:rsidRPr="00370E2E">
        <w:rPr>
          <w:rFonts w:ascii="Times New Roman" w:hAnsi="Times New Roman"/>
          <w:bCs/>
          <w:sz w:val="20"/>
          <w:szCs w:val="20"/>
        </w:rPr>
        <w:t xml:space="preserve">, 9(5): 709 – 714. </w:t>
      </w:r>
    </w:p>
    <w:p w:rsidR="00E75E60" w:rsidRPr="00370E2E" w:rsidRDefault="00E75E60" w:rsidP="00E75E60">
      <w:pPr>
        <w:pStyle w:val="ListParagraph"/>
        <w:numPr>
          <w:ilvl w:val="0"/>
          <w:numId w:val="1"/>
        </w:numPr>
        <w:spacing w:after="0" w:line="240" w:lineRule="auto"/>
        <w:ind w:left="360"/>
        <w:contextualSpacing w:val="0"/>
        <w:jc w:val="both"/>
        <w:rPr>
          <w:rFonts w:ascii="Times New Roman" w:hAnsi="Times New Roman"/>
          <w:bCs/>
          <w:sz w:val="20"/>
          <w:szCs w:val="20"/>
        </w:rPr>
      </w:pPr>
      <w:r w:rsidRPr="00370E2E">
        <w:rPr>
          <w:rFonts w:ascii="Times New Roman" w:hAnsi="Times New Roman"/>
          <w:bCs/>
          <w:sz w:val="20"/>
          <w:szCs w:val="20"/>
        </w:rPr>
        <w:t xml:space="preserve">Maheswara, M., Siddaiah, V., Rao, Y. K., Yew-Min, T. and Sridhar, C. (2006). A simple and efficient one-pot synthesis of 1,4-dihydropyridine using heterogenous catalyst under solvent-free conditions. </w:t>
      </w:r>
      <w:r w:rsidRPr="00370E2E">
        <w:rPr>
          <w:rFonts w:ascii="Times New Roman" w:hAnsi="Times New Roman"/>
          <w:bCs/>
          <w:i/>
          <w:sz w:val="20"/>
          <w:szCs w:val="20"/>
        </w:rPr>
        <w:t>Journal of Molecular Catalysis A: Chemical</w:t>
      </w:r>
      <w:r w:rsidRPr="00370E2E">
        <w:rPr>
          <w:rFonts w:ascii="Times New Roman" w:hAnsi="Times New Roman"/>
          <w:bCs/>
          <w:sz w:val="20"/>
          <w:szCs w:val="20"/>
        </w:rPr>
        <w:t>, 260(1): 179 – 180.</w:t>
      </w:r>
    </w:p>
    <w:p w:rsidR="00E75E60" w:rsidRPr="00370E2E" w:rsidRDefault="00E75E60" w:rsidP="00E75E60">
      <w:pPr>
        <w:pStyle w:val="ListParagraph"/>
        <w:numPr>
          <w:ilvl w:val="0"/>
          <w:numId w:val="1"/>
        </w:numPr>
        <w:spacing w:after="0" w:line="240" w:lineRule="auto"/>
        <w:ind w:left="360"/>
        <w:contextualSpacing w:val="0"/>
        <w:jc w:val="both"/>
        <w:rPr>
          <w:rFonts w:ascii="Times New Roman" w:hAnsi="Times New Roman"/>
          <w:bCs/>
          <w:sz w:val="20"/>
          <w:szCs w:val="20"/>
        </w:rPr>
      </w:pPr>
      <w:r w:rsidRPr="00370E2E">
        <w:rPr>
          <w:rFonts w:ascii="Times New Roman" w:hAnsi="Times New Roman"/>
          <w:bCs/>
          <w:sz w:val="20"/>
          <w:szCs w:val="20"/>
        </w:rPr>
        <w:t xml:space="preserve">Miura, K., Nakagawa, T. and Hosomi, A. (2015). Metal chloride-promoted aldol reaction of α-dimethylsilylesters with aldehydes, ketones, and α-enones. </w:t>
      </w:r>
      <w:r w:rsidRPr="00370E2E">
        <w:rPr>
          <w:rFonts w:ascii="Times New Roman" w:hAnsi="Times New Roman"/>
          <w:bCs/>
          <w:i/>
          <w:sz w:val="20"/>
          <w:szCs w:val="20"/>
        </w:rPr>
        <w:t>Synlett</w:t>
      </w:r>
      <w:r w:rsidRPr="00370E2E">
        <w:rPr>
          <w:rFonts w:ascii="Times New Roman" w:hAnsi="Times New Roman"/>
          <w:bCs/>
          <w:sz w:val="20"/>
          <w:szCs w:val="20"/>
        </w:rPr>
        <w:t>, 12: 1917 – 1921.</w:t>
      </w:r>
    </w:p>
    <w:p w:rsidR="00E75E60" w:rsidRPr="00370E2E" w:rsidRDefault="00E75E60" w:rsidP="00E75E60">
      <w:pPr>
        <w:pStyle w:val="ListParagraph"/>
        <w:numPr>
          <w:ilvl w:val="0"/>
          <w:numId w:val="1"/>
        </w:numPr>
        <w:spacing w:after="0" w:line="240" w:lineRule="auto"/>
        <w:ind w:left="360"/>
        <w:contextualSpacing w:val="0"/>
        <w:jc w:val="both"/>
        <w:rPr>
          <w:rFonts w:ascii="Times New Roman" w:hAnsi="Times New Roman"/>
          <w:bCs/>
          <w:sz w:val="20"/>
          <w:szCs w:val="20"/>
        </w:rPr>
      </w:pPr>
      <w:r w:rsidRPr="00370E2E">
        <w:rPr>
          <w:rFonts w:ascii="Times New Roman" w:hAnsi="Times New Roman"/>
          <w:bCs/>
          <w:sz w:val="20"/>
          <w:szCs w:val="20"/>
        </w:rPr>
        <w:t xml:space="preserve">Shahnaz, K., Majid, M. H., Minou, K., Farahnaz, K. B. and Zohreh, D. (2008). A very high yielding and facile alkaline earth metals homogeneous catalysis of Biginelli reaction: An improved protocol. </w:t>
      </w:r>
      <w:r w:rsidRPr="00370E2E">
        <w:rPr>
          <w:rFonts w:ascii="Times New Roman" w:hAnsi="Times New Roman"/>
          <w:bCs/>
          <w:i/>
          <w:sz w:val="20"/>
          <w:szCs w:val="20"/>
        </w:rPr>
        <w:t>Green Chemistry</w:t>
      </w:r>
      <w:r w:rsidRPr="00370E2E">
        <w:rPr>
          <w:rFonts w:ascii="Times New Roman" w:hAnsi="Times New Roman"/>
          <w:bCs/>
          <w:sz w:val="20"/>
          <w:szCs w:val="20"/>
        </w:rPr>
        <w:t>, 1(2): 133 – 139.</w:t>
      </w:r>
    </w:p>
    <w:p w:rsidR="00E75E60" w:rsidRPr="00370E2E" w:rsidRDefault="00E75E60" w:rsidP="00E75E60">
      <w:pPr>
        <w:pStyle w:val="ListParagraph"/>
        <w:numPr>
          <w:ilvl w:val="0"/>
          <w:numId w:val="1"/>
        </w:numPr>
        <w:spacing w:after="0" w:line="240" w:lineRule="auto"/>
        <w:ind w:left="360"/>
        <w:contextualSpacing w:val="0"/>
        <w:jc w:val="both"/>
        <w:rPr>
          <w:rFonts w:ascii="Times New Roman" w:hAnsi="Times New Roman"/>
          <w:bCs/>
          <w:sz w:val="20"/>
          <w:szCs w:val="20"/>
        </w:rPr>
      </w:pPr>
      <w:r w:rsidRPr="00370E2E">
        <w:rPr>
          <w:rFonts w:ascii="Times New Roman" w:hAnsi="Times New Roman"/>
          <w:bCs/>
          <w:sz w:val="20"/>
          <w:szCs w:val="20"/>
        </w:rPr>
        <w:t xml:space="preserve">Yaragorla, S., Singh, G. and Pareek, A. (2015). Alkaline earth metal catalyzed, one-pot, multi-component approach for the synthesis of dihydropyridine, acridine and xanthene derivatives in water. </w:t>
      </w:r>
      <w:r w:rsidRPr="00370E2E">
        <w:rPr>
          <w:rFonts w:ascii="Times New Roman" w:hAnsi="Times New Roman"/>
          <w:bCs/>
          <w:i/>
          <w:sz w:val="20"/>
          <w:szCs w:val="20"/>
        </w:rPr>
        <w:t>Indian Journal of Chemistry</w:t>
      </w:r>
      <w:r w:rsidRPr="00370E2E">
        <w:rPr>
          <w:rFonts w:ascii="Times New Roman" w:hAnsi="Times New Roman"/>
          <w:bCs/>
          <w:sz w:val="20"/>
          <w:szCs w:val="20"/>
        </w:rPr>
        <w:t>, 54: 1321 – 1326.</w:t>
      </w:r>
    </w:p>
    <w:p w:rsidR="00E75E60" w:rsidRPr="00370E2E" w:rsidRDefault="00E75E60" w:rsidP="00E75E60">
      <w:pPr>
        <w:pStyle w:val="ListParagraph"/>
        <w:numPr>
          <w:ilvl w:val="0"/>
          <w:numId w:val="1"/>
        </w:numPr>
        <w:spacing w:after="0" w:line="240" w:lineRule="auto"/>
        <w:ind w:left="360"/>
        <w:contextualSpacing w:val="0"/>
        <w:jc w:val="both"/>
        <w:rPr>
          <w:rFonts w:ascii="Times New Roman" w:hAnsi="Times New Roman"/>
          <w:bCs/>
          <w:sz w:val="20"/>
          <w:szCs w:val="20"/>
        </w:rPr>
      </w:pPr>
      <w:r w:rsidRPr="00370E2E">
        <w:rPr>
          <w:rFonts w:ascii="Times New Roman" w:hAnsi="Times New Roman"/>
          <w:bCs/>
          <w:sz w:val="20"/>
          <w:szCs w:val="20"/>
        </w:rPr>
        <w:t xml:space="preserve">Cotton, F. A., Wilkinson, G. and Gaus, O. L. (1995). </w:t>
      </w:r>
      <w:r w:rsidRPr="00370E2E">
        <w:rPr>
          <w:rFonts w:ascii="Times New Roman" w:hAnsi="Times New Roman"/>
          <w:bCs/>
          <w:i/>
          <w:sz w:val="20"/>
          <w:szCs w:val="20"/>
        </w:rPr>
        <w:t>Basic Inorganic Chemistry</w:t>
      </w:r>
      <w:r w:rsidRPr="00370E2E">
        <w:rPr>
          <w:rFonts w:ascii="Times New Roman" w:hAnsi="Times New Roman"/>
          <w:bCs/>
          <w:sz w:val="20"/>
          <w:szCs w:val="20"/>
        </w:rPr>
        <w:t>. J. Wiley &amp; Sons. New York.</w:t>
      </w:r>
    </w:p>
    <w:p w:rsidR="00E75E60" w:rsidRPr="00370E2E" w:rsidRDefault="00E75E60" w:rsidP="00E75E60">
      <w:pPr>
        <w:pStyle w:val="ListParagraph"/>
        <w:numPr>
          <w:ilvl w:val="0"/>
          <w:numId w:val="1"/>
        </w:numPr>
        <w:spacing w:after="0" w:line="240" w:lineRule="auto"/>
        <w:ind w:left="360"/>
        <w:contextualSpacing w:val="0"/>
        <w:jc w:val="both"/>
        <w:rPr>
          <w:rFonts w:ascii="Times New Roman" w:hAnsi="Times New Roman"/>
          <w:bCs/>
          <w:sz w:val="20"/>
          <w:szCs w:val="20"/>
        </w:rPr>
      </w:pPr>
      <w:r w:rsidRPr="00370E2E">
        <w:rPr>
          <w:rFonts w:ascii="Times New Roman" w:hAnsi="Times New Roman"/>
          <w:bCs/>
          <w:sz w:val="20"/>
          <w:szCs w:val="20"/>
        </w:rPr>
        <w:t xml:space="preserve">Kobayashi, S. and Yamashita, Y. (2011). Alkaline earth metal catalysts for asymmetric reactions. </w:t>
      </w:r>
      <w:r w:rsidRPr="00370E2E">
        <w:rPr>
          <w:rFonts w:ascii="Times New Roman" w:hAnsi="Times New Roman"/>
          <w:bCs/>
          <w:i/>
          <w:sz w:val="20"/>
          <w:szCs w:val="20"/>
        </w:rPr>
        <w:t>Accounts of Chemical Research</w:t>
      </w:r>
      <w:r w:rsidRPr="00370E2E">
        <w:rPr>
          <w:rFonts w:ascii="Times New Roman" w:hAnsi="Times New Roman"/>
          <w:bCs/>
          <w:sz w:val="20"/>
          <w:szCs w:val="20"/>
        </w:rPr>
        <w:t>, 44(1): 58 – 71.</w:t>
      </w:r>
    </w:p>
    <w:p w:rsidR="00E75E60" w:rsidRPr="00370E2E" w:rsidRDefault="00E75E60" w:rsidP="00E75E60">
      <w:pPr>
        <w:pStyle w:val="ListParagraph"/>
        <w:numPr>
          <w:ilvl w:val="0"/>
          <w:numId w:val="1"/>
        </w:numPr>
        <w:spacing w:after="0" w:line="240" w:lineRule="auto"/>
        <w:ind w:left="360"/>
        <w:contextualSpacing w:val="0"/>
        <w:jc w:val="both"/>
        <w:rPr>
          <w:rFonts w:ascii="Times New Roman" w:hAnsi="Times New Roman"/>
          <w:bCs/>
          <w:sz w:val="20"/>
          <w:szCs w:val="20"/>
        </w:rPr>
      </w:pPr>
      <w:r w:rsidRPr="00370E2E">
        <w:rPr>
          <w:rFonts w:ascii="Times New Roman" w:hAnsi="Times New Roman"/>
          <w:bCs/>
          <w:sz w:val="20"/>
          <w:szCs w:val="20"/>
        </w:rPr>
        <w:t>Alexander, J. S. and Ruhlandt-Senge, K. (2002).  Not just heavy “Grignards”: Recent advances in the organometallic chemistry of the alkaline earth metals calcium, strontium and barium</w:t>
      </w:r>
      <w:r w:rsidRPr="00370E2E">
        <w:rPr>
          <w:rFonts w:ascii="Times New Roman" w:hAnsi="Times New Roman"/>
          <w:bCs/>
          <w:color w:val="000000" w:themeColor="text1"/>
          <w:sz w:val="20"/>
          <w:szCs w:val="20"/>
        </w:rPr>
        <w:t xml:space="preserve">. </w:t>
      </w:r>
      <w:r w:rsidRPr="00370E2E">
        <w:rPr>
          <w:rFonts w:ascii="Times New Roman" w:hAnsi="Times New Roman"/>
          <w:bCs/>
          <w:i/>
          <w:sz w:val="20"/>
          <w:szCs w:val="20"/>
        </w:rPr>
        <w:t>European Journal of Inorganic Chemistry</w:t>
      </w:r>
      <w:r w:rsidRPr="00370E2E">
        <w:rPr>
          <w:rFonts w:ascii="Times New Roman" w:hAnsi="Times New Roman"/>
          <w:bCs/>
          <w:sz w:val="20"/>
          <w:szCs w:val="20"/>
        </w:rPr>
        <w:t>, 11: 2761 – 2774.</w:t>
      </w:r>
    </w:p>
    <w:p w:rsidR="00E75E60" w:rsidRPr="00370E2E" w:rsidRDefault="00E75E60" w:rsidP="00E75E60">
      <w:pPr>
        <w:pStyle w:val="ListParagraph"/>
        <w:numPr>
          <w:ilvl w:val="0"/>
          <w:numId w:val="1"/>
        </w:numPr>
        <w:spacing w:after="0" w:line="240" w:lineRule="auto"/>
        <w:ind w:left="360"/>
        <w:contextualSpacing w:val="0"/>
        <w:jc w:val="both"/>
        <w:rPr>
          <w:rFonts w:ascii="Times New Roman" w:hAnsi="Times New Roman"/>
          <w:bCs/>
          <w:sz w:val="20"/>
          <w:szCs w:val="20"/>
        </w:rPr>
      </w:pPr>
      <w:r w:rsidRPr="00370E2E">
        <w:rPr>
          <w:rFonts w:ascii="Times New Roman" w:hAnsi="Times New Roman"/>
          <w:bCs/>
          <w:sz w:val="20"/>
          <w:szCs w:val="20"/>
        </w:rPr>
        <w:t xml:space="preserve">Wang, S-X., Li, Z-L., Zhang J-C. and Li J-T. (2008). The solvent-free synthesis of 1,4-dihydropyridines under ultrasound irradiation without catalyst. </w:t>
      </w:r>
      <w:r w:rsidRPr="00370E2E">
        <w:rPr>
          <w:rFonts w:ascii="Times New Roman" w:hAnsi="Times New Roman"/>
          <w:bCs/>
          <w:i/>
          <w:sz w:val="20"/>
          <w:szCs w:val="20"/>
        </w:rPr>
        <w:t>Ultrasonics Sonochemistry</w:t>
      </w:r>
      <w:r w:rsidRPr="00370E2E">
        <w:rPr>
          <w:rFonts w:ascii="Times New Roman" w:hAnsi="Times New Roman"/>
          <w:bCs/>
          <w:sz w:val="20"/>
          <w:szCs w:val="20"/>
        </w:rPr>
        <w:t xml:space="preserve">, 15(5): 667 – 680. </w:t>
      </w:r>
    </w:p>
    <w:p w:rsidR="00E75E60" w:rsidRPr="00370E2E" w:rsidRDefault="00E75E60" w:rsidP="00E75E60">
      <w:pPr>
        <w:pStyle w:val="ListParagraph"/>
        <w:numPr>
          <w:ilvl w:val="0"/>
          <w:numId w:val="1"/>
        </w:numPr>
        <w:spacing w:after="0" w:line="240" w:lineRule="auto"/>
        <w:ind w:left="360"/>
        <w:contextualSpacing w:val="0"/>
        <w:jc w:val="both"/>
        <w:rPr>
          <w:rFonts w:ascii="Times New Roman" w:hAnsi="Times New Roman"/>
          <w:bCs/>
          <w:sz w:val="20"/>
          <w:szCs w:val="20"/>
        </w:rPr>
      </w:pPr>
      <w:r w:rsidRPr="00370E2E">
        <w:rPr>
          <w:rFonts w:ascii="Times New Roman" w:hAnsi="Times New Roman"/>
          <w:bCs/>
          <w:sz w:val="20"/>
          <w:szCs w:val="20"/>
        </w:rPr>
        <w:t>Reddy, B. Palakshi., Rajesh, K. and Vijayakumar, V. (2011).  Ionic Liquid [EMIM]OAc under ultrasonic irradiation towards Synthesis of 1,4-DHP's</w:t>
      </w:r>
      <w:r w:rsidRPr="00370E2E">
        <w:rPr>
          <w:rFonts w:ascii="Times New Roman" w:hAnsi="Times New Roman"/>
          <w:bCs/>
          <w:i/>
          <w:sz w:val="20"/>
          <w:szCs w:val="20"/>
        </w:rPr>
        <w:t>. Journal of the Chinese Chemical Society</w:t>
      </w:r>
      <w:r w:rsidRPr="00370E2E">
        <w:rPr>
          <w:rFonts w:ascii="Times New Roman" w:hAnsi="Times New Roman"/>
          <w:bCs/>
          <w:sz w:val="20"/>
          <w:szCs w:val="20"/>
        </w:rPr>
        <w:t xml:space="preserve">, 58(3): 384 – 388. </w:t>
      </w:r>
    </w:p>
    <w:p w:rsidR="00E75E60" w:rsidRPr="00370E2E" w:rsidRDefault="00E75E60" w:rsidP="00E75E60">
      <w:pPr>
        <w:pStyle w:val="ListParagraph"/>
        <w:numPr>
          <w:ilvl w:val="0"/>
          <w:numId w:val="1"/>
        </w:numPr>
        <w:spacing w:after="0" w:line="240" w:lineRule="auto"/>
        <w:ind w:left="360"/>
        <w:contextualSpacing w:val="0"/>
        <w:jc w:val="both"/>
        <w:rPr>
          <w:rFonts w:ascii="Times New Roman" w:hAnsi="Times New Roman"/>
          <w:bCs/>
          <w:sz w:val="20"/>
          <w:szCs w:val="20"/>
        </w:rPr>
      </w:pPr>
      <w:r w:rsidRPr="00370E2E">
        <w:rPr>
          <w:rFonts w:ascii="Times New Roman" w:hAnsi="Times New Roman"/>
          <w:bCs/>
          <w:sz w:val="20"/>
          <w:szCs w:val="20"/>
        </w:rPr>
        <w:t>Zolfigol, M. A., Salehi, P. and Safaiee, M. (2006).  An efficient and eco-friendly procedure for the synthesis of Hantzsch ethyl 1,4-dihydro-2,6-dimethylpyridine-3,5-dicarboxylates under mild and green conditions</w:t>
      </w:r>
      <w:r w:rsidRPr="00370E2E">
        <w:rPr>
          <w:rFonts w:ascii="Times New Roman" w:hAnsi="Times New Roman"/>
          <w:bCs/>
          <w:i/>
          <w:sz w:val="20"/>
          <w:szCs w:val="20"/>
        </w:rPr>
        <w:t>. Letters in Organic Chemistry</w:t>
      </w:r>
      <w:r w:rsidRPr="00370E2E">
        <w:rPr>
          <w:rFonts w:ascii="Times New Roman" w:hAnsi="Times New Roman"/>
          <w:bCs/>
          <w:sz w:val="20"/>
          <w:szCs w:val="20"/>
        </w:rPr>
        <w:t xml:space="preserve">, 3(2): 153 – 156. </w:t>
      </w:r>
    </w:p>
    <w:p w:rsidR="00E75E60" w:rsidRPr="00370E2E" w:rsidRDefault="00E75E60" w:rsidP="00E75E60">
      <w:pPr>
        <w:pStyle w:val="ListParagraph"/>
        <w:numPr>
          <w:ilvl w:val="0"/>
          <w:numId w:val="1"/>
        </w:numPr>
        <w:spacing w:after="0" w:line="240" w:lineRule="auto"/>
        <w:ind w:left="360"/>
        <w:contextualSpacing w:val="0"/>
        <w:jc w:val="both"/>
        <w:rPr>
          <w:rFonts w:ascii="Times New Roman" w:hAnsi="Times New Roman"/>
          <w:bCs/>
          <w:sz w:val="20"/>
          <w:szCs w:val="20"/>
        </w:rPr>
      </w:pPr>
      <w:r w:rsidRPr="00370E2E">
        <w:rPr>
          <w:rFonts w:ascii="Times New Roman" w:hAnsi="Times New Roman"/>
          <w:bCs/>
          <w:sz w:val="20"/>
          <w:szCs w:val="20"/>
        </w:rPr>
        <w:t xml:space="preserve">Kuraitheerthakumaran, A., Pazhamalai, S. and Gopalakrishnan, M. (2011). An efficient and solvent-free one-pot synthesis of 1,4-dihydropyridines under microwave irradiation. </w:t>
      </w:r>
      <w:r w:rsidRPr="00370E2E">
        <w:rPr>
          <w:rFonts w:ascii="Times New Roman" w:hAnsi="Times New Roman"/>
          <w:bCs/>
          <w:i/>
          <w:sz w:val="20"/>
          <w:szCs w:val="20"/>
        </w:rPr>
        <w:t>Chinese Chemical Letters</w:t>
      </w:r>
      <w:r w:rsidRPr="00370E2E">
        <w:rPr>
          <w:rFonts w:ascii="Times New Roman" w:hAnsi="Times New Roman"/>
          <w:bCs/>
          <w:sz w:val="20"/>
          <w:szCs w:val="20"/>
        </w:rPr>
        <w:t>, 22(10): 1199 – 1202.</w:t>
      </w:r>
    </w:p>
    <w:p w:rsidR="00E75E60" w:rsidRPr="00370E2E" w:rsidRDefault="00E75E60" w:rsidP="00E75E60">
      <w:pPr>
        <w:pStyle w:val="ListParagraph"/>
        <w:numPr>
          <w:ilvl w:val="0"/>
          <w:numId w:val="1"/>
        </w:numPr>
        <w:spacing w:after="0" w:line="240" w:lineRule="auto"/>
        <w:ind w:left="360"/>
        <w:contextualSpacing w:val="0"/>
        <w:jc w:val="both"/>
        <w:rPr>
          <w:rFonts w:ascii="Times New Roman" w:hAnsi="Times New Roman"/>
          <w:bCs/>
          <w:sz w:val="20"/>
          <w:szCs w:val="20"/>
        </w:rPr>
      </w:pPr>
      <w:r w:rsidRPr="00370E2E">
        <w:rPr>
          <w:rFonts w:ascii="Times New Roman" w:hAnsi="Times New Roman"/>
          <w:bCs/>
          <w:sz w:val="20"/>
          <w:szCs w:val="20"/>
        </w:rPr>
        <w:t xml:space="preserve">Yadav, D. K., Patel, R., Srivastava,V. P., Watal, G. and Yadav, L. D. S. (2011). LiBr as an efficient catalyst for one-pot synthesis of Hantzsch 1,4-dihydropyridines under mild conditions. </w:t>
      </w:r>
      <w:r w:rsidRPr="00370E2E">
        <w:rPr>
          <w:rFonts w:ascii="Times New Roman" w:hAnsi="Times New Roman"/>
          <w:bCs/>
          <w:i/>
          <w:sz w:val="20"/>
          <w:szCs w:val="20"/>
        </w:rPr>
        <w:t>Chinese Journal of Chemistry</w:t>
      </w:r>
      <w:r w:rsidRPr="00370E2E">
        <w:rPr>
          <w:rFonts w:ascii="Times New Roman" w:hAnsi="Times New Roman"/>
          <w:bCs/>
          <w:sz w:val="20"/>
          <w:szCs w:val="20"/>
        </w:rPr>
        <w:t xml:space="preserve">, 29(1): 118 – 122. </w:t>
      </w:r>
    </w:p>
    <w:p w:rsidR="00E75E60" w:rsidRPr="00370E2E" w:rsidRDefault="00E75E60" w:rsidP="00E75E60">
      <w:pPr>
        <w:pStyle w:val="ListParagraph"/>
        <w:numPr>
          <w:ilvl w:val="0"/>
          <w:numId w:val="1"/>
        </w:numPr>
        <w:spacing w:after="0" w:line="240" w:lineRule="auto"/>
        <w:ind w:left="360"/>
        <w:contextualSpacing w:val="0"/>
        <w:jc w:val="both"/>
        <w:rPr>
          <w:rFonts w:ascii="Times New Roman" w:hAnsi="Times New Roman"/>
          <w:bCs/>
          <w:sz w:val="20"/>
          <w:szCs w:val="20"/>
        </w:rPr>
      </w:pPr>
      <w:r w:rsidRPr="00370E2E">
        <w:rPr>
          <w:rFonts w:ascii="Times New Roman" w:hAnsi="Times New Roman"/>
          <w:bCs/>
          <w:sz w:val="20"/>
          <w:szCs w:val="20"/>
        </w:rPr>
        <w:t xml:space="preserve">Osnaya, R., Arroyo, G., Parada, L., Delgado, F., Trujillo, J., Salmón, M. and Miranda R. (2003). Biginelli vs Hantzsch esters study under infrared radiation and solventless conditions. </w:t>
      </w:r>
      <w:r w:rsidRPr="00370E2E">
        <w:rPr>
          <w:rFonts w:ascii="Times New Roman" w:hAnsi="Times New Roman"/>
          <w:bCs/>
          <w:i/>
          <w:sz w:val="20"/>
          <w:szCs w:val="20"/>
        </w:rPr>
        <w:t>Arkivoc</w:t>
      </w:r>
      <w:r w:rsidRPr="00370E2E">
        <w:rPr>
          <w:rFonts w:ascii="Times New Roman" w:hAnsi="Times New Roman"/>
          <w:bCs/>
          <w:sz w:val="20"/>
          <w:szCs w:val="20"/>
        </w:rPr>
        <w:t>, 11: 112 – 117.</w:t>
      </w:r>
    </w:p>
    <w:p w:rsidR="00E75E60" w:rsidRPr="00370E2E" w:rsidRDefault="00E75E60" w:rsidP="00E75E60">
      <w:pPr>
        <w:pStyle w:val="ListParagraph"/>
        <w:numPr>
          <w:ilvl w:val="0"/>
          <w:numId w:val="1"/>
        </w:numPr>
        <w:spacing w:after="0" w:line="240" w:lineRule="auto"/>
        <w:ind w:left="360"/>
        <w:contextualSpacing w:val="0"/>
        <w:jc w:val="both"/>
        <w:rPr>
          <w:rFonts w:ascii="Times New Roman" w:hAnsi="Times New Roman"/>
          <w:bCs/>
          <w:sz w:val="20"/>
          <w:szCs w:val="20"/>
        </w:rPr>
      </w:pPr>
      <w:r w:rsidRPr="00370E2E">
        <w:rPr>
          <w:rFonts w:ascii="Times New Roman" w:hAnsi="Times New Roman"/>
          <w:bCs/>
          <w:sz w:val="20"/>
          <w:szCs w:val="20"/>
        </w:rPr>
        <w:t xml:space="preserve">Bridgwood, K. L., Veitch, G. E. and Ley, S. V. (2008). Magnesium nitride as a convenient source of ammonia: Preparation of dihydropyridines. </w:t>
      </w:r>
      <w:r w:rsidRPr="00370E2E">
        <w:rPr>
          <w:rFonts w:ascii="Times New Roman" w:hAnsi="Times New Roman"/>
          <w:bCs/>
          <w:i/>
          <w:sz w:val="20"/>
          <w:szCs w:val="20"/>
        </w:rPr>
        <w:t>Organic Letters</w:t>
      </w:r>
      <w:r w:rsidRPr="00370E2E">
        <w:rPr>
          <w:rFonts w:ascii="Times New Roman" w:hAnsi="Times New Roman"/>
          <w:bCs/>
          <w:sz w:val="20"/>
          <w:szCs w:val="20"/>
        </w:rPr>
        <w:t>, 10(16): 3627 – 3629.</w:t>
      </w:r>
    </w:p>
    <w:p w:rsidR="00E75E60" w:rsidRPr="00370E2E" w:rsidRDefault="00E75E60" w:rsidP="00E75E60">
      <w:pPr>
        <w:pStyle w:val="ListParagraph"/>
        <w:numPr>
          <w:ilvl w:val="0"/>
          <w:numId w:val="1"/>
        </w:numPr>
        <w:spacing w:after="0" w:line="240" w:lineRule="auto"/>
        <w:ind w:left="360"/>
        <w:contextualSpacing w:val="0"/>
        <w:jc w:val="both"/>
        <w:rPr>
          <w:rFonts w:ascii="Times New Roman" w:hAnsi="Times New Roman"/>
          <w:bCs/>
          <w:sz w:val="20"/>
          <w:szCs w:val="20"/>
        </w:rPr>
      </w:pPr>
      <w:r w:rsidRPr="00370E2E">
        <w:rPr>
          <w:rFonts w:ascii="Times New Roman" w:hAnsi="Times New Roman"/>
          <w:bCs/>
          <w:sz w:val="20"/>
          <w:szCs w:val="20"/>
        </w:rPr>
        <w:t>Chang, C-C., Cao, S., Kang, S., Kai, L., Tian, X., Pandey, P., Dunne, S. F., Luan, C-H., Surmeier, D. J. and Silverman, R. B. (2010). Antagonism of 4-substituted 1,4-dihydropyridine-3,5-dicarboxylates toward voltage-dependent L-type Ca</w:t>
      </w:r>
      <w:r w:rsidRPr="00370E2E">
        <w:rPr>
          <w:rFonts w:ascii="Times New Roman" w:hAnsi="Times New Roman"/>
          <w:bCs/>
          <w:sz w:val="20"/>
          <w:szCs w:val="20"/>
          <w:vertAlign w:val="superscript"/>
        </w:rPr>
        <w:t xml:space="preserve">2+ </w:t>
      </w:r>
      <w:r w:rsidRPr="00370E2E">
        <w:rPr>
          <w:rFonts w:ascii="Times New Roman" w:hAnsi="Times New Roman"/>
          <w:bCs/>
          <w:sz w:val="20"/>
          <w:szCs w:val="20"/>
        </w:rPr>
        <w:t xml:space="preserve">channels Ca V 1.3 and Ca V 1.2. </w:t>
      </w:r>
      <w:r w:rsidRPr="00370E2E">
        <w:rPr>
          <w:rFonts w:ascii="Times New Roman" w:hAnsi="Times New Roman"/>
          <w:bCs/>
          <w:i/>
          <w:sz w:val="20"/>
          <w:szCs w:val="20"/>
        </w:rPr>
        <w:t>Bioorganic &amp; Medicinal Chemistry</w:t>
      </w:r>
      <w:r w:rsidRPr="00370E2E">
        <w:rPr>
          <w:rFonts w:ascii="Times New Roman" w:hAnsi="Times New Roman"/>
          <w:bCs/>
          <w:sz w:val="20"/>
          <w:szCs w:val="20"/>
        </w:rPr>
        <w:t>, 18(9): 3147 – 3158.</w:t>
      </w:r>
    </w:p>
    <w:p w:rsidR="00E75E60" w:rsidRPr="00370E2E" w:rsidRDefault="00E75E60" w:rsidP="00E75E60">
      <w:pPr>
        <w:pStyle w:val="ListParagraph"/>
        <w:numPr>
          <w:ilvl w:val="0"/>
          <w:numId w:val="1"/>
        </w:numPr>
        <w:spacing w:after="0" w:line="240" w:lineRule="auto"/>
        <w:ind w:left="360"/>
        <w:contextualSpacing w:val="0"/>
        <w:jc w:val="both"/>
        <w:rPr>
          <w:rFonts w:ascii="Times New Roman" w:hAnsi="Times New Roman"/>
          <w:bCs/>
          <w:sz w:val="20"/>
          <w:szCs w:val="20"/>
        </w:rPr>
      </w:pPr>
      <w:r w:rsidRPr="00370E2E">
        <w:rPr>
          <w:rFonts w:ascii="Times New Roman" w:hAnsi="Times New Roman"/>
          <w:bCs/>
          <w:sz w:val="20"/>
          <w:szCs w:val="20"/>
        </w:rPr>
        <w:t>Sabitha, G., Arundhati, K., Sudhakar, K., Sastry, B. S. and Yadav, J. S. (2009). CeCl</w:t>
      </w:r>
      <w:r w:rsidRPr="00370E2E">
        <w:rPr>
          <w:rFonts w:ascii="Times New Roman" w:hAnsi="Times New Roman"/>
          <w:bCs/>
          <w:sz w:val="20"/>
          <w:szCs w:val="20"/>
          <w:vertAlign w:val="subscript"/>
        </w:rPr>
        <w:t>3</w:t>
      </w:r>
      <w:r w:rsidRPr="00370E2E">
        <w:rPr>
          <w:rFonts w:ascii="Times New Roman" w:hAnsi="Times New Roman"/>
          <w:bCs/>
          <w:sz w:val="20"/>
          <w:szCs w:val="20"/>
        </w:rPr>
        <w:t>·7H</w:t>
      </w:r>
      <w:r w:rsidRPr="00370E2E">
        <w:rPr>
          <w:rFonts w:ascii="Times New Roman" w:hAnsi="Times New Roman"/>
          <w:bCs/>
          <w:sz w:val="20"/>
          <w:szCs w:val="20"/>
          <w:vertAlign w:val="subscript"/>
        </w:rPr>
        <w:t>2</w:t>
      </w:r>
      <w:r w:rsidRPr="00370E2E">
        <w:rPr>
          <w:rFonts w:ascii="Times New Roman" w:hAnsi="Times New Roman"/>
          <w:bCs/>
          <w:sz w:val="20"/>
          <w:szCs w:val="20"/>
        </w:rPr>
        <w:t xml:space="preserve">O-catalyzed one-pot synthesis of Hantzsch 1,4-dihydropyridines at room temperature. </w:t>
      </w:r>
      <w:r w:rsidRPr="00370E2E">
        <w:rPr>
          <w:rFonts w:ascii="Times New Roman" w:hAnsi="Times New Roman"/>
          <w:bCs/>
          <w:i/>
          <w:sz w:val="20"/>
          <w:szCs w:val="20"/>
        </w:rPr>
        <w:t>Synthetic Communications</w:t>
      </w:r>
      <w:r w:rsidRPr="00370E2E">
        <w:rPr>
          <w:rFonts w:ascii="Times New Roman" w:hAnsi="Times New Roman"/>
          <w:bCs/>
          <w:sz w:val="20"/>
          <w:szCs w:val="20"/>
        </w:rPr>
        <w:t>, 39(16): 2843 – 2851.</w:t>
      </w:r>
    </w:p>
    <w:p w:rsidR="00E75E60" w:rsidRPr="00E75E60" w:rsidRDefault="00E75E60" w:rsidP="00E75E60">
      <w:pPr>
        <w:spacing w:after="0" w:line="240" w:lineRule="auto"/>
        <w:jc w:val="both"/>
        <w:rPr>
          <w:rFonts w:ascii="Times New Roman" w:hAnsi="Times New Roman"/>
          <w:noProof/>
          <w:sz w:val="20"/>
          <w:szCs w:val="20"/>
          <w:lang w:val="ms-MY"/>
        </w:rPr>
      </w:pPr>
    </w:p>
    <w:sectPr w:rsidR="00E75E60" w:rsidRPr="00E75E60" w:rsidSect="00E75E60">
      <w:pgSz w:w="12240" w:h="15840"/>
      <w:pgMar w:top="1800" w:right="1469"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8D4D96"/>
    <w:multiLevelType w:val="hybridMultilevel"/>
    <w:tmpl w:val="8F146A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5E60"/>
    <w:rsid w:val="00B30350"/>
    <w:rsid w:val="00C221FB"/>
    <w:rsid w:val="00D0718B"/>
    <w:rsid w:val="00D40B1F"/>
    <w:rsid w:val="00E75E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5E60"/>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5E6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5E60"/>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5E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1186</Words>
  <Characters>6872</Characters>
  <Application>Microsoft Office Word</Application>
  <DocSecurity>0</DocSecurity>
  <Lines>149</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 Hamzah</cp:lastModifiedBy>
  <cp:revision>2</cp:revision>
  <dcterms:created xsi:type="dcterms:W3CDTF">2016-12-19T04:11:00Z</dcterms:created>
  <dcterms:modified xsi:type="dcterms:W3CDTF">2017-01-16T15:50:00Z</dcterms:modified>
</cp:coreProperties>
</file>