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rawings/drawing3.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GB" w:eastAsia="ko-KR"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ko-KR"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GB" w:eastAsia="ko-KR"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3D78A0" w:rsidRPr="00E3287E" w:rsidRDefault="003D78A0"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3D78A0" w:rsidRDefault="003D78A0"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3D78A0" w:rsidRPr="00E3287E" w:rsidRDefault="003D78A0"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3D78A0" w:rsidRDefault="003D78A0"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00E8D" w:rsidRDefault="00E00E8D" w:rsidP="00E00E8D">
      <w:pPr>
        <w:spacing w:after="0" w:line="240" w:lineRule="auto"/>
        <w:jc w:val="center"/>
        <w:outlineLvl w:val="0"/>
        <w:rPr>
          <w:rFonts w:ascii="Times New Roman" w:hAnsi="Times New Roman"/>
          <w:sz w:val="28"/>
        </w:rPr>
      </w:pPr>
      <w:r>
        <w:rPr>
          <w:rFonts w:ascii="Times New Roman" w:hAnsi="Times New Roman"/>
          <w:sz w:val="28"/>
        </w:rPr>
        <w:softHyphen/>
      </w:r>
      <w:r w:rsidRPr="005270A9">
        <w:rPr>
          <w:rFonts w:ascii="Times New Roman" w:hAnsi="Times New Roman"/>
          <w:sz w:val="28"/>
        </w:rPr>
        <w:t xml:space="preserve">QUANTIFICATION OF GROUNDWATER-DERIVED NUTRIENTS INTO </w:t>
      </w:r>
      <w:r>
        <w:rPr>
          <w:rFonts w:ascii="Times New Roman" w:hAnsi="Times New Roman"/>
          <w:sz w:val="28"/>
        </w:rPr>
        <w:t xml:space="preserve">BEACH RIDGE DRAINAGE </w:t>
      </w:r>
      <w:r w:rsidRPr="005270A9">
        <w:rPr>
          <w:rFonts w:ascii="Times New Roman" w:hAnsi="Times New Roman"/>
          <w:sz w:val="28"/>
        </w:rPr>
        <w:t>USING RADON MASS BALANCE MODEL</w:t>
      </w:r>
    </w:p>
    <w:p w:rsidR="00E00E8D" w:rsidRPr="00001D81" w:rsidRDefault="00E00E8D" w:rsidP="00E00E8D">
      <w:pPr>
        <w:spacing w:after="0" w:line="240" w:lineRule="auto"/>
        <w:jc w:val="center"/>
        <w:outlineLvl w:val="0"/>
        <w:rPr>
          <w:rFonts w:ascii="Times New Roman" w:hAnsi="Times New Roman"/>
          <w:b/>
          <w:color w:val="548DD4" w:themeColor="text2" w:themeTint="99"/>
          <w:sz w:val="24"/>
        </w:rPr>
      </w:pPr>
    </w:p>
    <w:p w:rsidR="00E00E8D" w:rsidRPr="00E00E8D" w:rsidRDefault="00E00E8D" w:rsidP="00E00E8D">
      <w:pPr>
        <w:spacing w:after="0" w:line="240" w:lineRule="auto"/>
        <w:jc w:val="center"/>
        <w:outlineLvl w:val="0"/>
        <w:rPr>
          <w:rFonts w:ascii="Times New Roman" w:hAnsi="Times New Roman"/>
          <w:sz w:val="24"/>
          <w:lang w:val="ms-MY"/>
        </w:rPr>
      </w:pPr>
      <w:r>
        <w:rPr>
          <w:rFonts w:ascii="Times New Roman" w:hAnsi="Times New Roman"/>
          <w:sz w:val="24"/>
        </w:rPr>
        <w:t>(</w:t>
      </w:r>
      <w:r w:rsidRPr="00C65CD7">
        <w:rPr>
          <w:rFonts w:ascii="Times New Roman" w:hAnsi="Times New Roman"/>
          <w:sz w:val="24"/>
          <w:lang w:val="ms-MY"/>
        </w:rPr>
        <w:t>Kuantifikasi Nutrien Air Bawah Tanah ke Saluran Pematang Pasir dengan Model Keseimbangan Jisim Radon</w:t>
      </w:r>
      <w:r>
        <w:rPr>
          <w:rFonts w:ascii="Times New Roman" w:hAnsi="Times New Roman"/>
          <w:sz w:val="24"/>
        </w:rPr>
        <w:t>)</w:t>
      </w:r>
    </w:p>
    <w:p w:rsidR="00E00E8D" w:rsidRPr="00E00E8D" w:rsidRDefault="00E00E8D" w:rsidP="00E00E8D">
      <w:pPr>
        <w:spacing w:after="0" w:line="240" w:lineRule="auto"/>
        <w:jc w:val="center"/>
        <w:outlineLvl w:val="0"/>
        <w:rPr>
          <w:rFonts w:ascii="Times New Roman" w:hAnsi="Times New Roman"/>
          <w:b/>
          <w:color w:val="548DD4" w:themeColor="text2" w:themeTint="99"/>
          <w:sz w:val="20"/>
          <w:szCs w:val="20"/>
        </w:rPr>
      </w:pPr>
    </w:p>
    <w:p w:rsidR="00E00E8D" w:rsidRPr="00E00E8D" w:rsidRDefault="00E00E8D" w:rsidP="00E00E8D">
      <w:pPr>
        <w:spacing w:after="0" w:line="240" w:lineRule="auto"/>
        <w:jc w:val="center"/>
        <w:outlineLvl w:val="0"/>
        <w:rPr>
          <w:rFonts w:ascii="Times New Roman" w:hAnsi="Times New Roman"/>
          <w:sz w:val="20"/>
          <w:szCs w:val="20"/>
        </w:rPr>
      </w:pPr>
      <w:r w:rsidRPr="00E00E8D">
        <w:rPr>
          <w:rFonts w:ascii="Times New Roman" w:hAnsi="Times New Roman"/>
          <w:sz w:val="20"/>
          <w:szCs w:val="20"/>
        </w:rPr>
        <w:t>Nicholas Chia Wei Ng and Seng-Chee Poh*</w:t>
      </w:r>
    </w:p>
    <w:p w:rsidR="00E00E8D" w:rsidRPr="009C4E07" w:rsidRDefault="00E00E8D" w:rsidP="00E00E8D">
      <w:pPr>
        <w:spacing w:after="0" w:line="240" w:lineRule="auto"/>
        <w:jc w:val="center"/>
        <w:outlineLvl w:val="0"/>
        <w:rPr>
          <w:rFonts w:ascii="Times New Roman" w:hAnsi="Times New Roman"/>
          <w:b/>
          <w:color w:val="FF0000"/>
          <w:sz w:val="18"/>
          <w:szCs w:val="18"/>
        </w:rPr>
      </w:pPr>
    </w:p>
    <w:p w:rsidR="00E00E8D" w:rsidRDefault="00E00E8D" w:rsidP="00E00E8D">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School of </w:t>
      </w:r>
      <w:r>
        <w:rPr>
          <w:rFonts w:ascii="Times New Roman" w:hAnsi="Times New Roman"/>
          <w:i/>
          <w:sz w:val="18"/>
          <w:szCs w:val="18"/>
        </w:rPr>
        <w:t xml:space="preserve">Marine and Environmental Sciences, </w:t>
      </w:r>
    </w:p>
    <w:p w:rsidR="00E00E8D" w:rsidRPr="00A415C1" w:rsidRDefault="00E00E8D" w:rsidP="00E00E8D">
      <w:pPr>
        <w:spacing w:after="0" w:line="240" w:lineRule="auto"/>
        <w:jc w:val="center"/>
        <w:outlineLvl w:val="0"/>
        <w:rPr>
          <w:rFonts w:ascii="Times New Roman" w:hAnsi="Times New Roman"/>
          <w:i/>
          <w:sz w:val="18"/>
          <w:szCs w:val="18"/>
        </w:rPr>
      </w:pPr>
      <w:r>
        <w:rPr>
          <w:rFonts w:ascii="Times New Roman" w:hAnsi="Times New Roman"/>
          <w:i/>
          <w:sz w:val="18"/>
          <w:szCs w:val="18"/>
        </w:rPr>
        <w:t>Universiti Malaysia Terengganu, 21030 Kuala Nerus, Terengganu, Malaysia</w:t>
      </w:r>
    </w:p>
    <w:p w:rsidR="00E00E8D" w:rsidRPr="00E00E8D" w:rsidRDefault="00E00E8D" w:rsidP="00E00E8D">
      <w:pPr>
        <w:spacing w:after="0" w:line="240" w:lineRule="auto"/>
        <w:jc w:val="center"/>
        <w:outlineLvl w:val="0"/>
        <w:rPr>
          <w:rFonts w:ascii="Times New Roman" w:hAnsi="Times New Roman"/>
          <w:b/>
          <w:color w:val="548DD4" w:themeColor="text2" w:themeTint="99"/>
          <w:sz w:val="18"/>
          <w:szCs w:val="18"/>
        </w:rPr>
      </w:pPr>
    </w:p>
    <w:p w:rsidR="00E00E8D" w:rsidRPr="00747021" w:rsidRDefault="00E00E8D" w:rsidP="00E00E8D">
      <w:pPr>
        <w:spacing w:after="0" w:line="240" w:lineRule="auto"/>
        <w:jc w:val="center"/>
        <w:outlineLvl w:val="0"/>
        <w:rPr>
          <w:rFonts w:ascii="Times New Roman" w:hAnsi="Times New Roman"/>
          <w:i/>
          <w:color w:val="548DD4" w:themeColor="text2" w:themeTint="99"/>
          <w:sz w:val="18"/>
        </w:rPr>
      </w:pPr>
      <w:r w:rsidRPr="00E00E8D">
        <w:rPr>
          <w:rFonts w:ascii="Times New Roman" w:hAnsi="Times New Roman"/>
          <w:i/>
          <w:sz w:val="18"/>
        </w:rPr>
        <w:t>*</w:t>
      </w:r>
      <w:r w:rsidRPr="00747021">
        <w:rPr>
          <w:rFonts w:ascii="Times New Roman" w:hAnsi="Times New Roman"/>
          <w:i/>
          <w:sz w:val="18"/>
        </w:rPr>
        <w:t xml:space="preserve">Corresponding author: </w:t>
      </w:r>
      <w:r>
        <w:rPr>
          <w:rFonts w:ascii="Times New Roman" w:hAnsi="Times New Roman"/>
          <w:i/>
          <w:sz w:val="18"/>
        </w:rPr>
        <w:t xml:space="preserve"> poh@umt.edu.my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906D2">
        <w:rPr>
          <w:rFonts w:ascii="Times New Roman" w:hAnsi="Times New Roman"/>
          <w:noProof/>
          <w:sz w:val="18"/>
          <w:szCs w:val="18"/>
          <w:lang w:bidi="ar-SA"/>
        </w:rPr>
        <w:t>10 November 2017</w:t>
      </w:r>
      <w:r>
        <w:rPr>
          <w:rFonts w:ascii="Times New Roman" w:hAnsi="Times New Roman"/>
          <w:noProof/>
          <w:sz w:val="18"/>
          <w:szCs w:val="18"/>
          <w:lang w:bidi="ar-SA"/>
        </w:rPr>
        <w:t xml:space="preserve">; Accepted: </w:t>
      </w:r>
      <w:r w:rsidR="00B906D2">
        <w:rPr>
          <w:rFonts w:ascii="Times New Roman" w:hAnsi="Times New Roman"/>
          <w:noProof/>
          <w:sz w:val="18"/>
          <w:szCs w:val="18"/>
          <w:lang w:bidi="ar-SA"/>
        </w:rPr>
        <w:t>22 May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00E8D" w:rsidRPr="0070431B" w:rsidRDefault="00E00E8D" w:rsidP="00E00E8D">
      <w:pPr>
        <w:spacing w:after="0" w:line="240" w:lineRule="auto"/>
        <w:jc w:val="both"/>
        <w:outlineLvl w:val="0"/>
        <w:rPr>
          <w:rFonts w:ascii="Times New Roman" w:hAnsi="Times New Roman"/>
          <w:sz w:val="18"/>
          <w:szCs w:val="18"/>
        </w:rPr>
      </w:pPr>
      <w:r w:rsidRPr="0070431B">
        <w:rPr>
          <w:rFonts w:ascii="Times New Roman" w:hAnsi="Times New Roman"/>
          <w:sz w:val="18"/>
          <w:szCs w:val="18"/>
        </w:rPr>
        <w:t xml:space="preserve">Groundwater discharge can be a significant pathway for dissolved nutrients to surface water and thus can bring forth important implications to the coastal biogeochemical cycles. </w:t>
      </w:r>
      <w:r>
        <w:rPr>
          <w:rFonts w:ascii="Times New Roman" w:hAnsi="Times New Roman"/>
          <w:sz w:val="18"/>
          <w:szCs w:val="18"/>
        </w:rPr>
        <w:t>Discrete sampling of r</w:t>
      </w:r>
      <w:r w:rsidRPr="0070431B">
        <w:rPr>
          <w:rFonts w:ascii="Times New Roman" w:hAnsi="Times New Roman"/>
          <w:sz w:val="18"/>
          <w:szCs w:val="18"/>
        </w:rPr>
        <w:t>adon concentrations</w:t>
      </w:r>
      <w:r>
        <w:rPr>
          <w:rFonts w:ascii="Times New Roman" w:hAnsi="Times New Roman"/>
          <w:sz w:val="18"/>
          <w:szCs w:val="18"/>
        </w:rPr>
        <w:t xml:space="preserve"> at several locations along an inter-ridge drainage off Setiu Wetlands </w:t>
      </w:r>
      <w:r w:rsidRPr="0070431B">
        <w:rPr>
          <w:rFonts w:ascii="Times New Roman" w:hAnsi="Times New Roman"/>
          <w:sz w:val="18"/>
          <w:szCs w:val="18"/>
        </w:rPr>
        <w:t xml:space="preserve">were </w:t>
      </w:r>
      <w:r>
        <w:rPr>
          <w:rFonts w:ascii="Times New Roman" w:hAnsi="Times New Roman"/>
          <w:sz w:val="18"/>
          <w:szCs w:val="18"/>
        </w:rPr>
        <w:t xml:space="preserve">carried out </w:t>
      </w:r>
      <w:r w:rsidRPr="0070431B">
        <w:rPr>
          <w:rFonts w:ascii="Times New Roman" w:hAnsi="Times New Roman"/>
          <w:sz w:val="18"/>
          <w:szCs w:val="18"/>
        </w:rPr>
        <w:t>to estimate</w:t>
      </w:r>
      <w:r>
        <w:rPr>
          <w:rFonts w:ascii="Times New Roman" w:hAnsi="Times New Roman"/>
          <w:sz w:val="18"/>
          <w:szCs w:val="18"/>
        </w:rPr>
        <w:t xml:space="preserve"> the fluxes of</w:t>
      </w:r>
      <w:r w:rsidRPr="0070431B">
        <w:rPr>
          <w:rFonts w:ascii="Times New Roman" w:hAnsi="Times New Roman"/>
          <w:sz w:val="18"/>
          <w:szCs w:val="18"/>
        </w:rPr>
        <w:t xml:space="preserve"> groundwater </w:t>
      </w:r>
      <w:r>
        <w:rPr>
          <w:rFonts w:ascii="Times New Roman" w:hAnsi="Times New Roman"/>
          <w:sz w:val="18"/>
          <w:szCs w:val="18"/>
        </w:rPr>
        <w:t>discharge</w:t>
      </w:r>
      <w:r w:rsidRPr="0070431B">
        <w:rPr>
          <w:rFonts w:ascii="Times New Roman" w:hAnsi="Times New Roman"/>
          <w:sz w:val="18"/>
          <w:szCs w:val="18"/>
        </w:rPr>
        <w:t xml:space="preserve">. The </w:t>
      </w:r>
      <w:r w:rsidRPr="0070431B">
        <w:rPr>
          <w:rFonts w:ascii="Times New Roman" w:hAnsi="Times New Roman"/>
          <w:sz w:val="18"/>
          <w:szCs w:val="18"/>
          <w:vertAlign w:val="superscript"/>
        </w:rPr>
        <w:t>222</w:t>
      </w:r>
      <w:r w:rsidRPr="0070431B">
        <w:rPr>
          <w:rFonts w:ascii="Times New Roman" w:hAnsi="Times New Roman"/>
          <w:sz w:val="18"/>
          <w:szCs w:val="18"/>
        </w:rPr>
        <w:t xml:space="preserve">Rn mass balance results show that groundwater discharge in the </w:t>
      </w:r>
      <w:r>
        <w:rPr>
          <w:rFonts w:ascii="Times New Roman" w:hAnsi="Times New Roman"/>
          <w:sz w:val="18"/>
          <w:szCs w:val="18"/>
        </w:rPr>
        <w:t xml:space="preserve">drainage </w:t>
      </w:r>
      <w:r w:rsidRPr="0070431B">
        <w:rPr>
          <w:rFonts w:ascii="Times New Roman" w:hAnsi="Times New Roman"/>
          <w:sz w:val="18"/>
          <w:szCs w:val="18"/>
        </w:rPr>
        <w:t xml:space="preserve"> is estimated to be 6649 m</w:t>
      </w:r>
      <w:r w:rsidRPr="0070431B">
        <w:rPr>
          <w:rFonts w:ascii="Times New Roman" w:hAnsi="Times New Roman"/>
          <w:sz w:val="18"/>
          <w:szCs w:val="18"/>
          <w:vertAlign w:val="superscript"/>
        </w:rPr>
        <w:t>3</w:t>
      </w:r>
      <w:r w:rsidRPr="0070431B">
        <w:rPr>
          <w:rFonts w:ascii="Times New Roman" w:hAnsi="Times New Roman"/>
          <w:sz w:val="18"/>
          <w:szCs w:val="18"/>
        </w:rPr>
        <w:t>day</w:t>
      </w:r>
      <w:r w:rsidRPr="0070431B">
        <w:rPr>
          <w:rFonts w:ascii="Times New Roman" w:hAnsi="Times New Roman"/>
          <w:sz w:val="18"/>
          <w:szCs w:val="18"/>
          <w:vertAlign w:val="superscript"/>
        </w:rPr>
        <w:t>-1</w:t>
      </w:r>
      <w:r>
        <w:rPr>
          <w:rFonts w:ascii="Times New Roman" w:hAnsi="Times New Roman"/>
          <w:sz w:val="18"/>
          <w:szCs w:val="18"/>
        </w:rPr>
        <w:t>, made up of ~33</w:t>
      </w:r>
      <w:r w:rsidRPr="0070431B">
        <w:rPr>
          <w:rFonts w:ascii="Times New Roman" w:hAnsi="Times New Roman"/>
          <w:sz w:val="18"/>
          <w:szCs w:val="18"/>
        </w:rPr>
        <w:t xml:space="preserve">% of total </w:t>
      </w:r>
      <w:r>
        <w:rPr>
          <w:rFonts w:ascii="Times New Roman" w:hAnsi="Times New Roman"/>
          <w:sz w:val="18"/>
          <w:szCs w:val="18"/>
          <w:lang w:eastAsia="zh-CN"/>
        </w:rPr>
        <w:t>water</w:t>
      </w:r>
      <w:r w:rsidRPr="0070431B">
        <w:rPr>
          <w:rFonts w:ascii="Times New Roman" w:hAnsi="Times New Roman"/>
          <w:sz w:val="18"/>
          <w:szCs w:val="18"/>
        </w:rPr>
        <w:t xml:space="preserve"> discharge and has contributed 2.88×10</w:t>
      </w:r>
      <w:r w:rsidRPr="0070431B">
        <w:rPr>
          <w:rFonts w:ascii="Times New Roman" w:hAnsi="Times New Roman"/>
          <w:sz w:val="18"/>
          <w:szCs w:val="18"/>
          <w:vertAlign w:val="superscript"/>
        </w:rPr>
        <w:t>2</w:t>
      </w:r>
      <w:r w:rsidRPr="0070431B">
        <w:rPr>
          <w:rFonts w:ascii="Times New Roman" w:hAnsi="Times New Roman"/>
          <w:sz w:val="18"/>
          <w:szCs w:val="18"/>
        </w:rPr>
        <w:t xml:space="preserve"> molday</w:t>
      </w:r>
      <w:r w:rsidRPr="0070431B">
        <w:rPr>
          <w:rFonts w:ascii="Times New Roman" w:hAnsi="Times New Roman"/>
          <w:sz w:val="18"/>
          <w:szCs w:val="18"/>
          <w:vertAlign w:val="superscript"/>
        </w:rPr>
        <w:t>-1</w:t>
      </w:r>
      <w:r w:rsidRPr="0070431B">
        <w:rPr>
          <w:rFonts w:ascii="Times New Roman" w:hAnsi="Times New Roman"/>
          <w:sz w:val="18"/>
          <w:szCs w:val="18"/>
        </w:rPr>
        <w:t>,</w:t>
      </w:r>
      <w:r w:rsidRPr="0070431B">
        <w:rPr>
          <w:rFonts w:ascii="Times New Roman" w:hAnsi="Times New Roman"/>
          <w:sz w:val="18"/>
          <w:szCs w:val="18"/>
          <w:vertAlign w:val="superscript"/>
        </w:rPr>
        <w:t xml:space="preserve"> </w:t>
      </w:r>
      <w:r w:rsidRPr="0070431B">
        <w:rPr>
          <w:rFonts w:ascii="Times New Roman" w:hAnsi="Times New Roman"/>
          <w:sz w:val="18"/>
          <w:szCs w:val="18"/>
        </w:rPr>
        <w:t>1.23×10</w:t>
      </w:r>
      <w:r w:rsidRPr="0070431B">
        <w:rPr>
          <w:rFonts w:ascii="Times New Roman" w:hAnsi="Times New Roman"/>
          <w:sz w:val="18"/>
          <w:szCs w:val="18"/>
          <w:vertAlign w:val="superscript"/>
        </w:rPr>
        <w:t>2</w:t>
      </w:r>
      <w:r w:rsidRPr="0070431B">
        <w:rPr>
          <w:rFonts w:ascii="Times New Roman" w:hAnsi="Times New Roman"/>
          <w:sz w:val="18"/>
          <w:szCs w:val="18"/>
        </w:rPr>
        <w:t xml:space="preserve"> molday</w:t>
      </w:r>
      <w:r w:rsidRPr="0070431B">
        <w:rPr>
          <w:rFonts w:ascii="Times New Roman" w:hAnsi="Times New Roman"/>
          <w:sz w:val="18"/>
          <w:szCs w:val="18"/>
          <w:vertAlign w:val="superscript"/>
        </w:rPr>
        <w:t>-1</w:t>
      </w:r>
      <w:r w:rsidRPr="0070431B">
        <w:rPr>
          <w:rFonts w:ascii="Times New Roman" w:hAnsi="Times New Roman"/>
          <w:sz w:val="18"/>
          <w:szCs w:val="18"/>
        </w:rPr>
        <w:t xml:space="preserve"> and 0.75molday</w:t>
      </w:r>
      <w:r w:rsidRPr="0070431B">
        <w:rPr>
          <w:rFonts w:ascii="Times New Roman" w:hAnsi="Times New Roman"/>
          <w:sz w:val="18"/>
          <w:szCs w:val="18"/>
          <w:vertAlign w:val="superscript"/>
        </w:rPr>
        <w:t xml:space="preserve">-1 </w:t>
      </w:r>
      <w:r w:rsidRPr="0070431B">
        <w:rPr>
          <w:rFonts w:ascii="Times New Roman" w:hAnsi="Times New Roman"/>
          <w:sz w:val="18"/>
          <w:szCs w:val="18"/>
        </w:rPr>
        <w:t>of ammonium-nitrogen, nitrate-nitrogen and nitrite-</w:t>
      </w:r>
      <w:r>
        <w:rPr>
          <w:rFonts w:ascii="Times New Roman" w:hAnsi="Times New Roman"/>
          <w:sz w:val="18"/>
          <w:szCs w:val="18"/>
        </w:rPr>
        <w:t>nitrogen, respectively into the surface water drainage</w:t>
      </w:r>
      <w:r w:rsidRPr="0070431B">
        <w:rPr>
          <w:rFonts w:ascii="Times New Roman" w:hAnsi="Times New Roman"/>
          <w:sz w:val="18"/>
          <w:szCs w:val="18"/>
        </w:rPr>
        <w:t>. Strong correlatio</w:t>
      </w:r>
      <w:r>
        <w:rPr>
          <w:rFonts w:ascii="Times New Roman" w:hAnsi="Times New Roman"/>
          <w:sz w:val="18"/>
          <w:szCs w:val="18"/>
        </w:rPr>
        <w:t>n between radon and ammonium</w:t>
      </w:r>
      <w:r w:rsidRPr="0070431B">
        <w:rPr>
          <w:rFonts w:ascii="Times New Roman" w:hAnsi="Times New Roman"/>
          <w:sz w:val="18"/>
          <w:szCs w:val="18"/>
        </w:rPr>
        <w:t xml:space="preserve"> suggested that the source of nutrient </w:t>
      </w:r>
      <w:r>
        <w:rPr>
          <w:rFonts w:ascii="Times New Roman" w:hAnsi="Times New Roman"/>
          <w:sz w:val="18"/>
          <w:szCs w:val="18"/>
        </w:rPr>
        <w:t xml:space="preserve">in drainage </w:t>
      </w:r>
      <w:r w:rsidRPr="0070431B">
        <w:rPr>
          <w:rFonts w:ascii="Times New Roman" w:hAnsi="Times New Roman"/>
          <w:sz w:val="18"/>
          <w:szCs w:val="18"/>
        </w:rPr>
        <w:t xml:space="preserve">is groundwater-based, derived probably from the nearby </w:t>
      </w:r>
      <w:r>
        <w:rPr>
          <w:rFonts w:ascii="Times New Roman" w:hAnsi="Times New Roman"/>
          <w:sz w:val="18"/>
          <w:szCs w:val="18"/>
        </w:rPr>
        <w:t xml:space="preserve">damaged or leaking residential septic tanks and from agricultural practices of </w:t>
      </w:r>
      <w:r w:rsidRPr="0070431B">
        <w:rPr>
          <w:rFonts w:ascii="Times New Roman" w:hAnsi="Times New Roman"/>
          <w:sz w:val="18"/>
          <w:szCs w:val="18"/>
        </w:rPr>
        <w:t xml:space="preserve">oil palm plantation. </w:t>
      </w:r>
    </w:p>
    <w:p w:rsidR="00E00E8D" w:rsidRPr="009C4E07" w:rsidRDefault="00E00E8D" w:rsidP="00E00E8D">
      <w:pPr>
        <w:spacing w:after="0" w:line="240" w:lineRule="auto"/>
        <w:jc w:val="both"/>
        <w:outlineLvl w:val="0"/>
        <w:rPr>
          <w:rFonts w:ascii="Times New Roman" w:hAnsi="Times New Roman"/>
          <w:sz w:val="18"/>
          <w:szCs w:val="18"/>
        </w:rPr>
      </w:pPr>
    </w:p>
    <w:p w:rsidR="00E00E8D" w:rsidRPr="00001D81" w:rsidRDefault="00E00E8D" w:rsidP="00E00E8D">
      <w:pPr>
        <w:spacing w:after="0" w:line="240" w:lineRule="auto"/>
        <w:jc w:val="both"/>
        <w:outlineLvl w:val="0"/>
        <w:rPr>
          <w:rFonts w:ascii="Times New Roman" w:hAnsi="Times New Roman"/>
          <w:color w:val="548DD4" w:themeColor="text2" w:themeTint="99"/>
        </w:rPr>
      </w:pPr>
      <w:r w:rsidRPr="009C4E07">
        <w:rPr>
          <w:rFonts w:ascii="Times New Roman" w:hAnsi="Times New Roman"/>
          <w:b/>
          <w:sz w:val="18"/>
          <w:szCs w:val="18"/>
        </w:rPr>
        <w:t>Keywords</w:t>
      </w:r>
      <w:r w:rsidRPr="009C4E07">
        <w:rPr>
          <w:rFonts w:ascii="Times New Roman" w:hAnsi="Times New Roman"/>
          <w:sz w:val="18"/>
          <w:szCs w:val="18"/>
        </w:rPr>
        <w:t>:</w:t>
      </w:r>
      <w:r>
        <w:rPr>
          <w:rFonts w:ascii="Times New Roman" w:hAnsi="Times New Roman"/>
          <w:sz w:val="18"/>
          <w:szCs w:val="18"/>
        </w:rPr>
        <w:t xml:space="preserve">  </w:t>
      </w:r>
      <w:r w:rsidRPr="005606B1">
        <w:rPr>
          <w:rFonts w:ascii="Times New Roman" w:hAnsi="Times New Roman"/>
          <w:sz w:val="18"/>
          <w:szCs w:val="18"/>
        </w:rPr>
        <w:t>groundwater</w:t>
      </w:r>
      <w:r>
        <w:rPr>
          <w:rFonts w:ascii="Times New Roman" w:hAnsi="Times New Roman"/>
          <w:sz w:val="18"/>
          <w:szCs w:val="18"/>
        </w:rPr>
        <w:t>-surface water interaction, water quality, beach ridge drainage, Setiu, Malaysia</w:t>
      </w:r>
    </w:p>
    <w:p w:rsidR="00E00E8D" w:rsidRPr="009C4E07" w:rsidRDefault="00E00E8D" w:rsidP="00E00E8D">
      <w:pPr>
        <w:spacing w:after="0" w:line="240" w:lineRule="auto"/>
        <w:jc w:val="center"/>
        <w:outlineLvl w:val="0"/>
        <w:rPr>
          <w:rFonts w:ascii="Times New Roman" w:hAnsi="Times New Roman"/>
          <w:b/>
          <w:color w:val="548DD4" w:themeColor="text2" w:themeTint="99"/>
          <w:sz w:val="18"/>
          <w:szCs w:val="18"/>
        </w:rPr>
      </w:pPr>
    </w:p>
    <w:p w:rsidR="00E00E8D" w:rsidRPr="00C65CD7" w:rsidRDefault="00E00E8D" w:rsidP="00E00E8D">
      <w:pPr>
        <w:spacing w:after="0" w:line="240" w:lineRule="auto"/>
        <w:jc w:val="center"/>
        <w:outlineLvl w:val="0"/>
        <w:rPr>
          <w:rFonts w:ascii="Times New Roman" w:hAnsi="Times New Roman"/>
          <w:b/>
          <w:sz w:val="18"/>
          <w:szCs w:val="18"/>
          <w:lang w:val="ms-MY"/>
        </w:rPr>
      </w:pPr>
      <w:r w:rsidRPr="00C65CD7">
        <w:rPr>
          <w:rFonts w:ascii="Times New Roman" w:hAnsi="Times New Roman"/>
          <w:b/>
          <w:sz w:val="18"/>
          <w:szCs w:val="18"/>
          <w:lang w:val="ms-MY"/>
        </w:rPr>
        <w:t>Abstrak</w:t>
      </w:r>
    </w:p>
    <w:p w:rsidR="00E00E8D" w:rsidRPr="00C65CD7" w:rsidRDefault="00E00E8D" w:rsidP="00E00E8D">
      <w:pPr>
        <w:spacing w:after="0" w:line="240" w:lineRule="auto"/>
        <w:jc w:val="both"/>
        <w:outlineLvl w:val="0"/>
        <w:rPr>
          <w:rFonts w:ascii="Times New Roman" w:hAnsi="Times New Roman"/>
          <w:sz w:val="18"/>
          <w:szCs w:val="18"/>
          <w:lang w:val="ms-MY"/>
        </w:rPr>
      </w:pPr>
      <w:r w:rsidRPr="00C65CD7">
        <w:rPr>
          <w:rFonts w:ascii="Times New Roman" w:hAnsi="Times New Roman"/>
          <w:sz w:val="18"/>
          <w:szCs w:val="18"/>
          <w:lang w:val="ms-MY"/>
        </w:rPr>
        <w:t xml:space="preserve">Pelepasan air bawah tanah merupakan satu laluan penting untuk nutrien ke air permukaan. Proses ini mampu membawa implikasi </w:t>
      </w:r>
      <w:r>
        <w:rPr>
          <w:rFonts w:ascii="Times New Roman" w:hAnsi="Times New Roman"/>
          <w:sz w:val="18"/>
          <w:szCs w:val="18"/>
          <w:lang w:val="ms-MY"/>
        </w:rPr>
        <w:t xml:space="preserve"> </w:t>
      </w:r>
      <w:r w:rsidRPr="00C65CD7">
        <w:rPr>
          <w:rFonts w:ascii="Times New Roman" w:hAnsi="Times New Roman"/>
          <w:sz w:val="18"/>
          <w:szCs w:val="18"/>
          <w:lang w:val="ms-MY"/>
        </w:rPr>
        <w:t xml:space="preserve">yang penting terhadap kitaran biogeokimia di pesisiran pantai. </w:t>
      </w:r>
      <w:r>
        <w:rPr>
          <w:rFonts w:ascii="Times New Roman" w:hAnsi="Times New Roman"/>
          <w:sz w:val="18"/>
          <w:szCs w:val="18"/>
          <w:lang w:val="ms-MY"/>
        </w:rPr>
        <w:t>Pens</w:t>
      </w:r>
      <w:r w:rsidRPr="00C65CD7">
        <w:rPr>
          <w:rFonts w:ascii="Times New Roman" w:hAnsi="Times New Roman"/>
          <w:sz w:val="18"/>
          <w:szCs w:val="18"/>
          <w:lang w:val="ms-MY"/>
        </w:rPr>
        <w:t xml:space="preserve">ampelan radon di sepanjang saluran pematang pasir telah dijalankan untuk menentukan kadar pelepasan air bawah tanah. Hasil model keseimbangan jisim </w:t>
      </w:r>
      <w:r w:rsidRPr="00C65CD7">
        <w:rPr>
          <w:rFonts w:ascii="Times New Roman" w:hAnsi="Times New Roman"/>
          <w:sz w:val="18"/>
          <w:szCs w:val="18"/>
          <w:vertAlign w:val="superscript"/>
          <w:lang w:val="ms-MY"/>
        </w:rPr>
        <w:t>222</w:t>
      </w:r>
      <w:r>
        <w:rPr>
          <w:rFonts w:ascii="Times New Roman" w:hAnsi="Times New Roman"/>
          <w:sz w:val="18"/>
          <w:szCs w:val="18"/>
          <w:lang w:val="ms-MY"/>
        </w:rPr>
        <w:t xml:space="preserve">Rn </w:t>
      </w:r>
      <w:r w:rsidRPr="00C65CD7">
        <w:rPr>
          <w:rFonts w:ascii="Times New Roman" w:hAnsi="Times New Roman"/>
          <w:sz w:val="18"/>
          <w:szCs w:val="18"/>
          <w:lang w:val="ms-MY"/>
        </w:rPr>
        <w:t>telah menunjukkan kadar pelepasan air bawah tanah di saluran adalah sebanyak 6649 m</w:t>
      </w:r>
      <w:r w:rsidRPr="00C65CD7">
        <w:rPr>
          <w:rFonts w:ascii="Times New Roman" w:hAnsi="Times New Roman"/>
          <w:sz w:val="18"/>
          <w:szCs w:val="18"/>
          <w:vertAlign w:val="superscript"/>
          <w:lang w:val="ms-MY"/>
        </w:rPr>
        <w:t>3</w:t>
      </w:r>
      <w:r w:rsidRPr="00C65CD7">
        <w:rPr>
          <w:rFonts w:ascii="Times New Roman" w:hAnsi="Times New Roman"/>
          <w:sz w:val="18"/>
          <w:szCs w:val="18"/>
          <w:lang w:val="ms-MY"/>
        </w:rPr>
        <w:t>hari</w:t>
      </w:r>
      <w:r w:rsidRPr="00C65CD7">
        <w:rPr>
          <w:rFonts w:ascii="Times New Roman" w:hAnsi="Times New Roman"/>
          <w:sz w:val="18"/>
          <w:szCs w:val="18"/>
          <w:vertAlign w:val="superscript"/>
          <w:lang w:val="ms-MY"/>
        </w:rPr>
        <w:t>-1</w:t>
      </w:r>
      <w:r w:rsidRPr="00C65CD7">
        <w:rPr>
          <w:rFonts w:ascii="Times New Roman" w:hAnsi="Times New Roman"/>
          <w:sz w:val="18"/>
          <w:szCs w:val="18"/>
          <w:lang w:val="ms-MY"/>
        </w:rPr>
        <w:t xml:space="preserve"> dan nilai ini merangkumi</w:t>
      </w:r>
      <w:r>
        <w:rPr>
          <w:rFonts w:ascii="Times New Roman" w:hAnsi="Times New Roman"/>
          <w:sz w:val="18"/>
          <w:szCs w:val="18"/>
          <w:lang w:val="ms-MY"/>
        </w:rPr>
        <w:t xml:space="preserve"> </w:t>
      </w:r>
      <w:r w:rsidRPr="00C65CD7">
        <w:rPr>
          <w:rFonts w:ascii="Times New Roman" w:hAnsi="Times New Roman"/>
          <w:sz w:val="18"/>
          <w:szCs w:val="18"/>
          <w:lang w:val="ms-MY"/>
        </w:rPr>
        <w:t>~33% daripada jumlah pelepasan air. Pelepasan air bawah tanah juga</w:t>
      </w:r>
      <w:r>
        <w:rPr>
          <w:rFonts w:ascii="Times New Roman" w:hAnsi="Times New Roman"/>
          <w:sz w:val="18"/>
          <w:szCs w:val="18"/>
          <w:lang w:val="ms-MY"/>
        </w:rPr>
        <w:t xml:space="preserve"> menyumbang sebanyak 2.88×</w:t>
      </w:r>
      <w:r w:rsidRPr="00C65CD7">
        <w:rPr>
          <w:rFonts w:ascii="Times New Roman" w:hAnsi="Times New Roman"/>
          <w:sz w:val="18"/>
          <w:szCs w:val="18"/>
          <w:lang w:val="ms-MY"/>
        </w:rPr>
        <w:t>10</w:t>
      </w:r>
      <w:r w:rsidRPr="00C65CD7">
        <w:rPr>
          <w:rFonts w:ascii="Times New Roman" w:hAnsi="Times New Roman"/>
          <w:sz w:val="18"/>
          <w:szCs w:val="18"/>
          <w:vertAlign w:val="superscript"/>
          <w:lang w:val="ms-MY"/>
        </w:rPr>
        <w:t>2</w:t>
      </w:r>
      <w:r w:rsidRPr="00C65CD7">
        <w:rPr>
          <w:rFonts w:ascii="Times New Roman" w:hAnsi="Times New Roman"/>
          <w:sz w:val="18"/>
          <w:szCs w:val="18"/>
          <w:lang w:val="ms-MY"/>
        </w:rPr>
        <w:t xml:space="preserve"> mol hari</w:t>
      </w:r>
      <w:r w:rsidRPr="00C65CD7">
        <w:rPr>
          <w:rFonts w:ascii="Times New Roman" w:hAnsi="Times New Roman"/>
          <w:sz w:val="18"/>
          <w:szCs w:val="18"/>
          <w:vertAlign w:val="superscript"/>
          <w:lang w:val="ms-MY"/>
        </w:rPr>
        <w:t xml:space="preserve">-1 </w:t>
      </w:r>
      <w:r w:rsidRPr="00C65CD7">
        <w:rPr>
          <w:rFonts w:ascii="Times New Roman" w:hAnsi="Times New Roman"/>
          <w:sz w:val="18"/>
          <w:szCs w:val="18"/>
          <w:lang w:val="ms-MY"/>
        </w:rPr>
        <w:t>amonium-nitrogen</w:t>
      </w:r>
      <w:r>
        <w:rPr>
          <w:rFonts w:ascii="Times New Roman" w:hAnsi="Times New Roman"/>
          <w:sz w:val="18"/>
          <w:szCs w:val="18"/>
          <w:lang w:val="ms-MY"/>
        </w:rPr>
        <w:t>, 1.23×</w:t>
      </w:r>
      <w:r w:rsidRPr="00C65CD7">
        <w:rPr>
          <w:rFonts w:ascii="Times New Roman" w:hAnsi="Times New Roman"/>
          <w:sz w:val="18"/>
          <w:szCs w:val="18"/>
          <w:lang w:val="ms-MY"/>
        </w:rPr>
        <w:t>10</w:t>
      </w:r>
      <w:r w:rsidRPr="00C65CD7">
        <w:rPr>
          <w:rFonts w:ascii="Times New Roman" w:hAnsi="Times New Roman"/>
          <w:sz w:val="18"/>
          <w:szCs w:val="18"/>
          <w:vertAlign w:val="superscript"/>
          <w:lang w:val="ms-MY"/>
        </w:rPr>
        <w:t>2</w:t>
      </w:r>
      <w:r w:rsidRPr="00C65CD7">
        <w:rPr>
          <w:rFonts w:ascii="Times New Roman" w:hAnsi="Times New Roman"/>
          <w:sz w:val="18"/>
          <w:szCs w:val="18"/>
          <w:lang w:val="ms-MY"/>
        </w:rPr>
        <w:t xml:space="preserve"> mol hari</w:t>
      </w:r>
      <w:r w:rsidRPr="00C65CD7">
        <w:rPr>
          <w:rFonts w:ascii="Times New Roman" w:hAnsi="Times New Roman"/>
          <w:sz w:val="18"/>
          <w:szCs w:val="18"/>
          <w:vertAlign w:val="superscript"/>
          <w:lang w:val="ms-MY"/>
        </w:rPr>
        <w:t xml:space="preserve">-1 </w:t>
      </w:r>
      <w:r w:rsidRPr="00C65CD7">
        <w:rPr>
          <w:rFonts w:ascii="Times New Roman" w:hAnsi="Times New Roman"/>
          <w:sz w:val="18"/>
          <w:szCs w:val="18"/>
          <w:lang w:val="ms-MY"/>
        </w:rPr>
        <w:t xml:space="preserve"> nitrit-nitrogen dan 0.75 mol hari</w:t>
      </w:r>
      <w:r w:rsidRPr="00C65CD7">
        <w:rPr>
          <w:rFonts w:ascii="Times New Roman" w:hAnsi="Times New Roman"/>
          <w:sz w:val="18"/>
          <w:szCs w:val="18"/>
          <w:vertAlign w:val="superscript"/>
          <w:lang w:val="ms-MY"/>
        </w:rPr>
        <w:t>-1</w:t>
      </w:r>
      <w:r w:rsidRPr="00C65CD7">
        <w:rPr>
          <w:rFonts w:ascii="Times New Roman" w:hAnsi="Times New Roman"/>
          <w:sz w:val="18"/>
          <w:szCs w:val="18"/>
          <w:lang w:val="ms-MY"/>
        </w:rPr>
        <w:t xml:space="preserve"> dan nitrit-nitrogen ke air permukaan saluran. Kolerasi antara kepekatan radon dan ammonium di saluran juga mencadangkan sumber nutrien berasal dari air bawah tanah yang kemungkinan tercemar oleh sisa pembuangan kumbahan dari kawasan kediaman berdekatan dan rembesan pertanian dari ladang kelapa sawit di sekitarnya.</w:t>
      </w:r>
    </w:p>
    <w:p w:rsidR="00E00E8D" w:rsidRPr="00C65CD7" w:rsidRDefault="00E00E8D" w:rsidP="00E00E8D">
      <w:pPr>
        <w:spacing w:after="0" w:line="240" w:lineRule="auto"/>
        <w:jc w:val="both"/>
        <w:outlineLvl w:val="0"/>
        <w:rPr>
          <w:rFonts w:ascii="Times New Roman" w:hAnsi="Times New Roman"/>
          <w:sz w:val="18"/>
          <w:szCs w:val="18"/>
          <w:lang w:val="ms-MY"/>
        </w:rPr>
      </w:pPr>
    </w:p>
    <w:p w:rsidR="00E00E8D" w:rsidRPr="00C65CD7" w:rsidRDefault="00E00E8D" w:rsidP="00E00E8D">
      <w:pPr>
        <w:spacing w:after="0" w:line="240" w:lineRule="auto"/>
        <w:jc w:val="both"/>
        <w:outlineLvl w:val="0"/>
        <w:rPr>
          <w:rFonts w:ascii="Times New Roman" w:hAnsi="Times New Roman"/>
          <w:color w:val="548DD4" w:themeColor="text2" w:themeTint="99"/>
          <w:sz w:val="18"/>
          <w:szCs w:val="18"/>
          <w:lang w:val="ms-MY"/>
        </w:rPr>
      </w:pPr>
      <w:r w:rsidRPr="00C65CD7">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C65CD7">
        <w:rPr>
          <w:rFonts w:ascii="Times New Roman" w:hAnsi="Times New Roman"/>
          <w:b/>
          <w:sz w:val="18"/>
          <w:szCs w:val="18"/>
          <w:lang w:val="ms-MY"/>
        </w:rPr>
        <w:t xml:space="preserve"> </w:t>
      </w:r>
      <w:r w:rsidRPr="00C65CD7">
        <w:rPr>
          <w:rFonts w:ascii="Times New Roman" w:hAnsi="Times New Roman"/>
          <w:sz w:val="18"/>
          <w:szCs w:val="18"/>
          <w:lang w:val="ms-MY"/>
        </w:rPr>
        <w:t>interaksi air bawah tanah-air permukaan, kualiti air, saluran pematang pasir, Setiu, Malaysia</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Importance of groundwater discharge as a nutrient source to the river and estuaries are often overlooked. Several studies have demonstrated that groundwater discharge can be a significant contributor of nutrients to the coastal environment and being recognized as a potential pathway for non-point pollution, especially when agricultural practices or urban activities had impacted the groundwater quality [1-4]. Previous studies have shown that radon is a great tool to study groundwater-surface water interaction in different environmental settings [5, 6, 7]. Radon has </w:t>
      </w:r>
      <w:r w:rsidRPr="00E00E8D">
        <w:rPr>
          <w:rFonts w:ascii="Times New Roman" w:hAnsi="Times New Roman"/>
          <w:sz w:val="20"/>
          <w:szCs w:val="20"/>
        </w:rPr>
        <w:lastRenderedPageBreak/>
        <w:t>relatively short halve-lives (3.8 days) and low solubility in water, 0.01 molkg</w:t>
      </w:r>
      <w:r w:rsidRPr="00E00E8D">
        <w:rPr>
          <w:rFonts w:ascii="Times New Roman" w:hAnsi="Times New Roman"/>
          <w:sz w:val="20"/>
          <w:szCs w:val="20"/>
          <w:vertAlign w:val="superscript"/>
        </w:rPr>
        <w:t>−1</w:t>
      </w:r>
      <w:r w:rsidRPr="00E00E8D">
        <w:rPr>
          <w:rFonts w:ascii="Times New Roman" w:hAnsi="Times New Roman"/>
          <w:sz w:val="20"/>
          <w:szCs w:val="20"/>
        </w:rPr>
        <w:t xml:space="preserve"> bar</w:t>
      </w:r>
      <w:r w:rsidRPr="00E00E8D">
        <w:rPr>
          <w:rFonts w:ascii="Times New Roman" w:hAnsi="Times New Roman"/>
          <w:sz w:val="20"/>
          <w:szCs w:val="20"/>
          <w:vertAlign w:val="superscript"/>
        </w:rPr>
        <w:t>−1</w:t>
      </w:r>
      <w:r w:rsidRPr="00E00E8D">
        <w:rPr>
          <w:rFonts w:ascii="Times New Roman" w:hAnsi="Times New Roman"/>
          <w:sz w:val="20"/>
          <w:szCs w:val="20"/>
        </w:rPr>
        <w:t xml:space="preserve"> at 293 K [8]. Radon concentration tend to be higher in groundwater compared to the surface water i.e. lake, river, estuary and ocean. In aquifer, radon concentration in groundwater is proportional to radium-bearing rocks and soils. On contrary, radon concentration in surface water tends to be low due to natural decay, degassing and dilution processes. The large difference in radon concentration between surface and groundwater can be used as a proxy to determine groundwater discharge hotspots [9, 10].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Numerous studies have applied </w:t>
      </w:r>
      <w:r w:rsidRPr="00E00E8D">
        <w:rPr>
          <w:rFonts w:ascii="Times New Roman" w:hAnsi="Times New Roman"/>
          <w:sz w:val="20"/>
          <w:szCs w:val="20"/>
          <w:vertAlign w:val="superscript"/>
        </w:rPr>
        <w:t>222</w:t>
      </w:r>
      <w:r w:rsidRPr="00E00E8D">
        <w:rPr>
          <w:rFonts w:ascii="Times New Roman" w:hAnsi="Times New Roman"/>
          <w:sz w:val="20"/>
          <w:szCs w:val="20"/>
        </w:rPr>
        <w:t xml:space="preserve">Rn mass model to assess groundwater discharge in rivers and estuaries [11, 12]. Other studies also incorporate geophysical technique such as seepage meters with </w:t>
      </w:r>
      <w:r w:rsidRPr="00E00E8D">
        <w:rPr>
          <w:rFonts w:ascii="Times New Roman" w:hAnsi="Times New Roman"/>
          <w:sz w:val="20"/>
          <w:szCs w:val="20"/>
          <w:vertAlign w:val="superscript"/>
        </w:rPr>
        <w:t>222</w:t>
      </w:r>
      <w:r w:rsidRPr="00E00E8D">
        <w:rPr>
          <w:rFonts w:ascii="Times New Roman" w:hAnsi="Times New Roman"/>
          <w:sz w:val="20"/>
          <w:szCs w:val="20"/>
        </w:rPr>
        <w:t xml:space="preserve">Rn measurement to examine groundwater discharge into the river [13].  Most of the groundwater discharge studies were carried out </w:t>
      </w:r>
      <w:r w:rsidRPr="00E00E8D">
        <w:rPr>
          <w:rFonts w:ascii="Times New Roman" w:hAnsi="Times New Roman"/>
          <w:i/>
          <w:sz w:val="20"/>
          <w:szCs w:val="20"/>
        </w:rPr>
        <w:t>in-situ</w:t>
      </w:r>
      <w:r w:rsidRPr="00E00E8D">
        <w:rPr>
          <w:rFonts w:ascii="Times New Roman" w:hAnsi="Times New Roman"/>
          <w:sz w:val="20"/>
          <w:szCs w:val="20"/>
        </w:rPr>
        <w:t xml:space="preserve"> by a portable radon gas detector [14, 15]. In general, the radon measurement required a headspace equilibrator attached to the radon detector. The equilibrator allows radon gas in water to exchange rapidly with gases in the headspace. The radon activities in headspace will then determine by a semiconductor detector e.g. RAD7, the electronic radon detector (Durridge, USA). The detector convert the alpha radiation from the radon decay products (primarily </w:t>
      </w:r>
      <w:r w:rsidRPr="00E00E8D">
        <w:rPr>
          <w:rFonts w:ascii="Times New Roman" w:hAnsi="Times New Roman"/>
          <w:sz w:val="20"/>
          <w:szCs w:val="20"/>
          <w:vertAlign w:val="superscript"/>
        </w:rPr>
        <w:t>218</w:t>
      </w:r>
      <w:r w:rsidRPr="00E00E8D">
        <w:rPr>
          <w:rFonts w:ascii="Times New Roman" w:hAnsi="Times New Roman"/>
          <w:sz w:val="20"/>
          <w:szCs w:val="20"/>
        </w:rPr>
        <w:t>Po) into electrical signals and have a measurement range of 4 to 400, 000 Bq/m</w:t>
      </w:r>
      <w:r w:rsidRPr="00E00E8D">
        <w:rPr>
          <w:rFonts w:ascii="Times New Roman" w:hAnsi="Times New Roman"/>
          <w:sz w:val="20"/>
          <w:szCs w:val="20"/>
          <w:vertAlign w:val="superscript"/>
        </w:rPr>
        <w:t>3</w:t>
      </w:r>
      <w:r w:rsidRPr="00E00E8D">
        <w:rPr>
          <w:rFonts w:ascii="Times New Roman" w:hAnsi="Times New Roman"/>
          <w:sz w:val="20"/>
          <w:szCs w:val="20"/>
        </w:rPr>
        <w:t xml:space="preserve"> [17].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Longitudinal and time-series radon samplings are two common approaches used to trace and quantify groundwater discharge in a system.  The former sampling technique involved collection of discrete water samples followed by </w:t>
      </w:r>
      <w:r w:rsidRPr="00E00E8D">
        <w:rPr>
          <w:rFonts w:ascii="Times New Roman" w:hAnsi="Times New Roman"/>
          <w:i/>
          <w:sz w:val="20"/>
          <w:szCs w:val="20"/>
        </w:rPr>
        <w:t>in-situ</w:t>
      </w:r>
      <w:r w:rsidRPr="00E00E8D">
        <w:rPr>
          <w:rFonts w:ascii="Times New Roman" w:hAnsi="Times New Roman"/>
          <w:sz w:val="20"/>
          <w:szCs w:val="20"/>
        </w:rPr>
        <w:t xml:space="preserve"> sample analysis is convenient and provides instantaneous values of radon activity in the water. Sometimes, radon samples were measured in laboratory within 24 hours of sampling time if the </w:t>
      </w:r>
      <w:r w:rsidRPr="00E00E8D">
        <w:rPr>
          <w:rFonts w:ascii="Times New Roman" w:hAnsi="Times New Roman"/>
          <w:i/>
          <w:sz w:val="20"/>
          <w:szCs w:val="20"/>
        </w:rPr>
        <w:t>in-situ</w:t>
      </w:r>
      <w:r w:rsidRPr="00E00E8D">
        <w:rPr>
          <w:rFonts w:ascii="Times New Roman" w:hAnsi="Times New Roman"/>
          <w:sz w:val="20"/>
          <w:szCs w:val="20"/>
        </w:rPr>
        <w:t xml:space="preserve"> measurement is not accessible.  This sampling strategy provides a fast and cost-effective way to locate the groundwater discharge hotspots within a large scale study area [18]. Time-series sampling technique on the other hand, provides a near real-time concentration of radon activities in a single sampling point. This sampling strategy is normally applied in area where the groundwater hotspots was found and a high-resolution radon measurements are needed to better quantify the exchange fluxes between groundwater-surface water [10, 15, 19].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Setiu Wetlands is located in the eastern coast of Peninsular Malaysia. The entire coastal zone of Setiu is characterized by wide sandy undulating landscape, consists a series of shore-parallel beach ridges and sandy swales. Setiu wetland is located on the low-lying sandy swales surrounded by elevated paleo-beach ridges. Since 1980s, the natural drainage system in this area was heavily modified to support local agricultural and aquaculture activities. Some of the natural streams were straightened and widened to facilitate the water supply. Additional artificial channels cutting perpendicular through the ridges were built to fulfil the water demands associated to agricultural practices. Besides agricultural and aquaculture activities, local communities’ livelihood in this area is highly dependent on the natural resources found in the wetlands. Fish and shrimp farming, molluscan shellfish (e.g. gastropods and bivalves) aquaculture and harvesting, and commercial fishing are the major economic activities of the local populations in the area.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Setiu Wetlands has been subjected to increasing environmental pressures due to rapid growth of aquaculture and agricultural activities [20]. The excess nutrients from the pond could potentially leak into the groundwater. The polluted groundwater is non-point source pollution which may cause additional environmental pressure to Setiu Wetlands. In addition, the intensive farming activities on the beach ridges adjacent to lagoon may also contribute nutrients into the lagoon [21].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Previous study shows that Berombak Lake has contributed significant nutrients to Setiu Wetlands lagoon [22].  However, there has been no study on groundwater discharge as parts of the nutrient budget of drainage channel that connecting the lake and lagoon. Hence, this study is conducted to (i) identify the groundwater discharge hotspots along the drainage channels (hereinafter refer as Ular River) and (ii) quantify the groundwater fluxes and its associated nutrients to the surface water.</w:t>
      </w:r>
    </w:p>
    <w:p w:rsidR="00E00E8D" w:rsidRPr="00E00E8D" w:rsidRDefault="00E00E8D" w:rsidP="00E00E8D">
      <w:pPr>
        <w:spacing w:after="0" w:line="240" w:lineRule="auto"/>
        <w:jc w:val="center"/>
        <w:outlineLvl w:val="0"/>
        <w:rPr>
          <w:rFonts w:ascii="Times New Roman" w:hAnsi="Times New Roman"/>
          <w:b/>
          <w:sz w:val="20"/>
          <w:szCs w:val="20"/>
        </w:rPr>
      </w:pPr>
    </w:p>
    <w:p w:rsidR="00E00E8D" w:rsidRPr="00E00E8D" w:rsidRDefault="00E00E8D" w:rsidP="00E00E8D">
      <w:pPr>
        <w:spacing w:after="0" w:line="240" w:lineRule="auto"/>
        <w:jc w:val="center"/>
        <w:outlineLvl w:val="0"/>
        <w:rPr>
          <w:rFonts w:ascii="Times New Roman" w:hAnsi="Times New Roman"/>
          <w:b/>
          <w:sz w:val="20"/>
          <w:szCs w:val="20"/>
        </w:rPr>
      </w:pPr>
      <w:r w:rsidRPr="00E00E8D">
        <w:rPr>
          <w:rFonts w:ascii="Times New Roman" w:hAnsi="Times New Roman"/>
          <w:b/>
          <w:sz w:val="20"/>
          <w:szCs w:val="20"/>
        </w:rPr>
        <w:t>Materials and Methods</w:t>
      </w:r>
    </w:p>
    <w:p w:rsidR="00E00E8D" w:rsidRPr="00E00E8D" w:rsidRDefault="00E00E8D" w:rsidP="00E00E8D">
      <w:pPr>
        <w:spacing w:after="0" w:line="240" w:lineRule="auto"/>
        <w:jc w:val="both"/>
        <w:outlineLvl w:val="0"/>
        <w:rPr>
          <w:rFonts w:ascii="Times New Roman" w:hAnsi="Times New Roman"/>
          <w:b/>
          <w:color w:val="548DD4" w:themeColor="text2" w:themeTint="99"/>
          <w:sz w:val="20"/>
          <w:szCs w:val="20"/>
        </w:rPr>
      </w:pPr>
      <w:r w:rsidRPr="00E00E8D">
        <w:rPr>
          <w:rFonts w:ascii="Times New Roman" w:hAnsi="Times New Roman"/>
          <w:b/>
          <w:sz w:val="20"/>
          <w:szCs w:val="20"/>
        </w:rPr>
        <w:t>Study area</w:t>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Ular River is a tributary of the Setiu Wetlands Lagoon, Terengganu, Malaysia. The river stretch between the coordinates 5°40’05.06” N to 5°40’45.04” N and 102°41’40.51” E to 102°42’54.04” E. The river is approximately 4 </w:t>
      </w:r>
      <w:r w:rsidRPr="00E00E8D">
        <w:rPr>
          <w:rFonts w:ascii="Times New Roman" w:hAnsi="Times New Roman"/>
          <w:sz w:val="20"/>
          <w:szCs w:val="20"/>
        </w:rPr>
        <w:lastRenderedPageBreak/>
        <w:t>km in length, connected to its headwaters the Berombak Lake by two channels branches split about 2km from the river mouth. The total size of river catchment is approximately 48,000 m</w:t>
      </w:r>
      <w:r w:rsidRPr="00E00E8D">
        <w:rPr>
          <w:rFonts w:ascii="Times New Roman" w:hAnsi="Times New Roman"/>
          <w:sz w:val="20"/>
          <w:szCs w:val="20"/>
          <w:vertAlign w:val="superscript"/>
        </w:rPr>
        <w:t>2</w:t>
      </w:r>
      <w:r w:rsidRPr="00E00E8D">
        <w:rPr>
          <w:rFonts w:ascii="Times New Roman" w:hAnsi="Times New Roman"/>
          <w:sz w:val="20"/>
          <w:szCs w:val="20"/>
        </w:rPr>
        <w:t xml:space="preserve"> and the average river depth is ranging from 0.1-1.8 m. The river receives freshwater input primarily from the Berombak Lake but one-fourth of the river from the downstream is subjected to saline water intrusion (Figure 1). The riverbed materials of upper part river, approximately 1.5 km from the river mouth is dominated by the fluvial deposits, followed by the middle part of river is dominated by the fluvial sand and marine mud. The lower part of river is dominated by the estuarine deposits. This estuarine deposits mainly consists of cohesive sediments with the combination of clay, silt and organic matter [23]. </w:t>
      </w:r>
    </w:p>
    <w:p w:rsidR="00E00E8D" w:rsidRPr="00E00E8D" w:rsidRDefault="00E00E8D" w:rsidP="00E00E8D">
      <w:pPr>
        <w:spacing w:after="0" w:line="240" w:lineRule="auto"/>
        <w:jc w:val="both"/>
        <w:outlineLvl w:val="0"/>
        <w:rPr>
          <w:rFonts w:ascii="Times New Roman" w:hAnsi="Times New Roman"/>
          <w:b/>
          <w:sz w:val="20"/>
          <w:szCs w:val="20"/>
        </w:rPr>
      </w:pPr>
    </w:p>
    <w:p w:rsidR="00E00E8D" w:rsidRPr="00E00E8D" w:rsidRDefault="00E00E8D" w:rsidP="00E00E8D">
      <w:pPr>
        <w:spacing w:after="0" w:line="240" w:lineRule="auto"/>
        <w:jc w:val="both"/>
        <w:outlineLvl w:val="0"/>
        <w:rPr>
          <w:rFonts w:ascii="Times New Roman" w:hAnsi="Times New Roman"/>
          <w:b/>
          <w:sz w:val="20"/>
          <w:szCs w:val="20"/>
        </w:rPr>
      </w:pPr>
      <w:r w:rsidRPr="00E00E8D">
        <w:rPr>
          <w:rFonts w:ascii="Times New Roman" w:hAnsi="Times New Roman"/>
          <w:b/>
          <w:sz w:val="20"/>
          <w:szCs w:val="20"/>
        </w:rPr>
        <w:t>Surface water and groundwater sampling</w:t>
      </w:r>
      <w:r w:rsidRPr="00E00E8D">
        <w:rPr>
          <w:rFonts w:ascii="Times New Roman" w:hAnsi="Times New Roman"/>
          <w:b/>
          <w:sz w:val="20"/>
          <w:szCs w:val="20"/>
        </w:rPr>
        <w:tab/>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Three longitudinal surface and groundwater sampling were conducted in Ular River in 2015. The first sampling is carried out in January 2015, followed by second and third samplings in March 2015 and May 2016. The first sampling was conducted during wet season, where the studied area received 152 mm of rain in the week prior to sampling in January 2015. On the other hand, March was the driest month of 2015 with less than 30 mm monthly rainfall while May 2016 recorded less than 35 mm of rainfall a week prior the sampling, making it a perfect timing to obtain the representative samples for dry season base-flow condition [24]. A total of 40 surface water and 19 groundwater samples were collected for radon and nutrient analysis.</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For groundwater sampling, three piezometers were installed in riparian zone along Ular River (P1-P3, Figure 1). The boreholes were dug using a vibracorer to the depth of ~3m. Slotted PVC pipes (drilled with 0.5cm diameter holes, extended from the base of the pipe for ~30cm) were placed into borehole and backfilled with the excavated materials. A cement grout was installed at the top of borehole to prevent </w:t>
      </w:r>
      <w:r w:rsidRPr="00E00E8D">
        <w:rPr>
          <w:rFonts w:ascii="Times New Roman" w:hAnsi="Times New Roman"/>
          <w:iCs/>
          <w:sz w:val="20"/>
          <w:szCs w:val="20"/>
        </w:rPr>
        <w:t>surface water</w:t>
      </w:r>
      <w:r w:rsidRPr="00E00E8D">
        <w:rPr>
          <w:rFonts w:ascii="Times New Roman" w:hAnsi="Times New Roman"/>
          <w:sz w:val="20"/>
          <w:szCs w:val="20"/>
        </w:rPr>
        <w:t xml:space="preserve"> from moving via a </w:t>
      </w:r>
      <w:r w:rsidRPr="00E00E8D">
        <w:rPr>
          <w:rFonts w:ascii="Times New Roman" w:hAnsi="Times New Roman"/>
          <w:iCs/>
          <w:sz w:val="20"/>
          <w:szCs w:val="20"/>
        </w:rPr>
        <w:t>preferential</w:t>
      </w:r>
      <w:r w:rsidRPr="00E00E8D">
        <w:rPr>
          <w:rFonts w:ascii="Times New Roman" w:hAnsi="Times New Roman"/>
          <w:sz w:val="20"/>
          <w:szCs w:val="20"/>
        </w:rPr>
        <w:t xml:space="preserve"> pathway into the piezometer. After installation, the piezometers were developed using a peristaltic pump until the discharge groundwater was clear. Besides piezometers, five addition groundwater samples were also collected from the nearby private groundwater wells (B1-B5, Figure 1). The depth of these groundwater wells ranges from 5 to 7 m below ground, and the groundwater samples were collected from water tap attached to the automatic submersible pumps.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noProof/>
          <w:sz w:val="20"/>
          <w:szCs w:val="20"/>
          <w:lang w:val="en-GB" w:eastAsia="ko-KR" w:bidi="ar-SA"/>
        </w:rPr>
        <w:drawing>
          <wp:anchor distT="0" distB="0" distL="114300" distR="114300" simplePos="0" relativeHeight="251685376" behindDoc="1" locked="0" layoutInCell="1" allowOverlap="1" wp14:anchorId="691C9623" wp14:editId="08B8A41F">
            <wp:simplePos x="0" y="0"/>
            <wp:positionH relativeFrom="column">
              <wp:posOffset>857250</wp:posOffset>
            </wp:positionH>
            <wp:positionV relativeFrom="paragraph">
              <wp:posOffset>81280</wp:posOffset>
            </wp:positionV>
            <wp:extent cx="4148455" cy="2505075"/>
            <wp:effectExtent l="19050" t="19050" r="23495" b="28575"/>
            <wp:wrapNone/>
            <wp:docPr id="3" name="Picture 3" descr="F:\KAP\MASTER\Writing\SGD\New folder\MJAS\MALAYSIA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AP\MASTER\Writing\SGD\New folder\MJAS\MALAYSIA MAP.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48455" cy="250507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tabs>
          <w:tab w:val="left" w:pos="7920"/>
        </w:tabs>
        <w:spacing w:after="0" w:line="240" w:lineRule="auto"/>
        <w:jc w:val="both"/>
        <w:outlineLvl w:val="0"/>
        <w:rPr>
          <w:rFonts w:ascii="Times New Roman" w:hAnsi="Times New Roman"/>
          <w:sz w:val="20"/>
          <w:szCs w:val="20"/>
        </w:rPr>
      </w:pPr>
      <w:r w:rsidRPr="00E00E8D">
        <w:rPr>
          <w:rFonts w:ascii="Times New Roman" w:hAnsi="Times New Roman"/>
          <w:sz w:val="20"/>
          <w:szCs w:val="20"/>
        </w:rPr>
        <w:tab/>
      </w:r>
    </w:p>
    <w:p w:rsidR="00E00E8D" w:rsidRPr="00E00E8D" w:rsidRDefault="00E00E8D" w:rsidP="00E00E8D">
      <w:pPr>
        <w:tabs>
          <w:tab w:val="left" w:pos="7920"/>
        </w:tabs>
        <w:spacing w:after="0" w:line="240" w:lineRule="auto"/>
        <w:jc w:val="both"/>
        <w:outlineLvl w:val="0"/>
        <w:rPr>
          <w:rFonts w:ascii="Times New Roman" w:hAnsi="Times New Roman"/>
          <w:sz w:val="20"/>
          <w:szCs w:val="20"/>
        </w:rPr>
      </w:pPr>
    </w:p>
    <w:p w:rsidR="00E00E8D" w:rsidRPr="00E00E8D" w:rsidRDefault="00E00E8D" w:rsidP="00E00E8D">
      <w:pPr>
        <w:spacing w:after="120" w:line="240" w:lineRule="auto"/>
        <w:jc w:val="center"/>
        <w:outlineLvl w:val="0"/>
        <w:rPr>
          <w:rFonts w:ascii="Times New Roman" w:hAnsi="Times New Roman"/>
          <w:iCs/>
          <w:sz w:val="20"/>
          <w:szCs w:val="20"/>
        </w:rPr>
      </w:pPr>
      <w:r w:rsidRPr="00E00E8D">
        <w:rPr>
          <w:rFonts w:ascii="Times New Roman" w:hAnsi="Times New Roman"/>
          <w:noProof/>
          <w:sz w:val="20"/>
          <w:szCs w:val="20"/>
          <w:lang w:val="en-GB" w:eastAsia="ko-KR" w:bidi="ar-SA"/>
        </w:rPr>
        <w:lastRenderedPageBreak/>
        <mc:AlternateContent>
          <mc:Choice Requires="wps">
            <w:drawing>
              <wp:anchor distT="0" distB="0" distL="114300" distR="114300" simplePos="0" relativeHeight="251686400" behindDoc="0" locked="0" layoutInCell="1" allowOverlap="1" wp14:anchorId="77F47FED" wp14:editId="79DCAC8B">
                <wp:simplePos x="0" y="0"/>
                <wp:positionH relativeFrom="column">
                  <wp:posOffset>3802380</wp:posOffset>
                </wp:positionH>
                <wp:positionV relativeFrom="paragraph">
                  <wp:posOffset>2671193</wp:posOffset>
                </wp:positionV>
                <wp:extent cx="212957" cy="217036"/>
                <wp:effectExtent l="0" t="0" r="0" b="0"/>
                <wp:wrapNone/>
                <wp:docPr id="2" name="Text Box 2"/>
                <wp:cNvGraphicFramePr/>
                <a:graphic xmlns:a="http://schemas.openxmlformats.org/drawingml/2006/main">
                  <a:graphicData uri="http://schemas.microsoft.com/office/word/2010/wordprocessingShape">
                    <wps:wsp>
                      <wps:cNvSpPr txBox="1"/>
                      <wps:spPr>
                        <a:xfrm>
                          <a:off x="0" y="0"/>
                          <a:ext cx="212957" cy="21703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D78A0" w:rsidRPr="002954E5" w:rsidRDefault="003D78A0" w:rsidP="00E00E8D">
                            <w:pPr>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2954E5">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99.4pt;margin-top:210.35pt;width:16.75pt;height:17.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" filled="f" stroked="f" strokeweight=".5pt">
                <v:textbox>
                  <w:txbxContent>
                    <w:p w:rsidR="003D78A0" w:rsidRPr="002954E5" w:rsidRDefault="003D78A0" w:rsidP="00E00E8D">
                      <w:pPr>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2954E5">
                        <w:rPr>
                          <w:b/>
                          <w:color w:val="6AFB19"/>
                          <w:sz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B</w:t>
                      </w:r>
                    </w:p>
                  </w:txbxContent>
                </v:textbox>
              </v:shape>
            </w:pict>
          </mc:Fallback>
        </mc:AlternateContent>
      </w:r>
      <w:r w:rsidRPr="00E00E8D">
        <w:rPr>
          <w:rFonts w:ascii="Times New Roman" w:hAnsi="Times New Roman"/>
          <w:noProof/>
          <w:sz w:val="20"/>
          <w:szCs w:val="20"/>
          <w:lang w:val="en-GB" w:eastAsia="ko-KR" w:bidi="ar-SA"/>
        </w:rPr>
        <w:drawing>
          <wp:inline distT="0" distB="0" distL="0" distR="0" wp14:anchorId="21D43DAB" wp14:editId="664E959F">
            <wp:extent cx="4400550" cy="2876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00550" cy="2876550"/>
                    </a:xfrm>
                    <a:prstGeom prst="rect">
                      <a:avLst/>
                    </a:prstGeom>
                  </pic:spPr>
                </pic:pic>
              </a:graphicData>
            </a:graphic>
          </wp:inline>
        </w:drawing>
      </w:r>
      <w:bookmarkStart w:id="0" w:name="_Toc495243623"/>
    </w:p>
    <w:p w:rsidR="00E00E8D" w:rsidRPr="00E00E8D" w:rsidRDefault="00E00E8D" w:rsidP="00E00E8D">
      <w:pPr>
        <w:spacing w:after="0" w:line="240" w:lineRule="auto"/>
        <w:jc w:val="center"/>
        <w:outlineLvl w:val="0"/>
        <w:rPr>
          <w:rFonts w:ascii="Times New Roman" w:hAnsi="Times New Roman"/>
          <w:i/>
          <w:iCs/>
          <w:sz w:val="20"/>
          <w:szCs w:val="20"/>
        </w:rPr>
      </w:pPr>
      <w:r w:rsidRPr="00E00E8D">
        <w:rPr>
          <w:rFonts w:ascii="Times New Roman" w:hAnsi="Times New Roman"/>
          <w:iCs/>
          <w:sz w:val="20"/>
          <w:szCs w:val="20"/>
        </w:rPr>
        <w:t xml:space="preserve">Figure 1. </w:t>
      </w:r>
      <w:r>
        <w:rPr>
          <w:rFonts w:ascii="Times New Roman" w:hAnsi="Times New Roman"/>
          <w:iCs/>
          <w:sz w:val="20"/>
          <w:szCs w:val="20"/>
        </w:rPr>
        <w:t xml:space="preserve"> </w:t>
      </w:r>
      <w:r w:rsidRPr="00E00E8D">
        <w:rPr>
          <w:rFonts w:ascii="Times New Roman" w:hAnsi="Times New Roman"/>
          <w:iCs/>
          <w:sz w:val="20"/>
          <w:szCs w:val="20"/>
        </w:rPr>
        <w:t>Location of Ular River and its sampling sites</w:t>
      </w:r>
      <w:bookmarkEnd w:id="0"/>
    </w:p>
    <w:p w:rsidR="00E00E8D" w:rsidRPr="00E00E8D" w:rsidRDefault="00E00E8D" w:rsidP="00E00E8D">
      <w:pPr>
        <w:spacing w:after="12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b/>
          <w:sz w:val="20"/>
          <w:szCs w:val="20"/>
        </w:rPr>
      </w:pPr>
      <w:r w:rsidRPr="00E00E8D">
        <w:rPr>
          <w:rFonts w:ascii="Times New Roman" w:hAnsi="Times New Roman"/>
          <w:b/>
          <w:sz w:val="20"/>
          <w:szCs w:val="20"/>
        </w:rPr>
        <w:t>Radon analysis</w:t>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Surface water and groundwater samples for the radon concentration were collected using a Schott gas-tight glass bottle (500 ml, Duran, Germany) and stored under 10 °C prior to the analysis. The measurement of radon in water was conducted as proposed by Lee and Kim [25]. In general, the radon water sample was transferred to a gas-washing bottle with fitted disc (500 ml, Duran, Germany). The bottle was then connected to a desiccant column and RAD7 with a closed air loop circulation system. A desiccant column was installed between the gas washing bottle and RAD7 to reduce the moisture content in the radon detector.  The internal pump in the RAD7 was set to ~1L/min to provide a continuous air flow within the experimental setup. The equilibrium time for radon concentration </w:t>
      </w:r>
      <w:r w:rsidRPr="00E00E8D">
        <w:rPr>
          <w:rFonts w:ascii="Times New Roman" w:hAnsi="Times New Roman"/>
          <w:iCs/>
          <w:sz w:val="20"/>
          <w:szCs w:val="20"/>
        </w:rPr>
        <w:t>equilibrium</w:t>
      </w:r>
      <w:r w:rsidRPr="00E00E8D">
        <w:rPr>
          <w:rFonts w:ascii="Times New Roman" w:hAnsi="Times New Roman"/>
          <w:sz w:val="20"/>
          <w:szCs w:val="20"/>
        </w:rPr>
        <w:t xml:space="preserve"> between </w:t>
      </w:r>
      <w:r w:rsidRPr="00E00E8D">
        <w:rPr>
          <w:rFonts w:ascii="Times New Roman" w:hAnsi="Times New Roman"/>
          <w:iCs/>
          <w:sz w:val="20"/>
          <w:szCs w:val="20"/>
        </w:rPr>
        <w:t>water</w:t>
      </w:r>
      <w:r w:rsidRPr="00E00E8D">
        <w:rPr>
          <w:rFonts w:ascii="Times New Roman" w:hAnsi="Times New Roman"/>
          <w:sz w:val="20"/>
          <w:szCs w:val="20"/>
        </w:rPr>
        <w:t xml:space="preserve"> and recirculating </w:t>
      </w:r>
      <w:r w:rsidRPr="00E00E8D">
        <w:rPr>
          <w:rFonts w:ascii="Times New Roman" w:hAnsi="Times New Roman"/>
          <w:iCs/>
          <w:sz w:val="20"/>
          <w:szCs w:val="20"/>
        </w:rPr>
        <w:t>air</w:t>
      </w:r>
      <w:r w:rsidRPr="00E00E8D">
        <w:rPr>
          <w:rFonts w:ascii="Times New Roman" w:hAnsi="Times New Roman"/>
          <w:sz w:val="20"/>
          <w:szCs w:val="20"/>
        </w:rPr>
        <w:t xml:space="preserve"> take approximately 15 minutes. Each radon sample was counted for two hours in order to yield good counting statistics. For actual radon concentration report, data reduction was performed by taking account of the radon decay activities during the time lapse between sample collection and analysis.</w:t>
      </w:r>
    </w:p>
    <w:p w:rsidR="00E00E8D" w:rsidRPr="00E00E8D" w:rsidRDefault="00E00E8D" w:rsidP="00E00E8D">
      <w:pPr>
        <w:spacing w:after="0" w:line="240" w:lineRule="auto"/>
        <w:jc w:val="both"/>
        <w:outlineLvl w:val="0"/>
        <w:rPr>
          <w:rFonts w:ascii="Times New Roman" w:hAnsi="Times New Roman"/>
          <w:b/>
          <w:sz w:val="20"/>
          <w:szCs w:val="20"/>
        </w:rPr>
      </w:pPr>
    </w:p>
    <w:p w:rsidR="00E00E8D" w:rsidRPr="00E00E8D" w:rsidRDefault="00E00E8D" w:rsidP="00E00E8D">
      <w:pPr>
        <w:spacing w:after="0" w:line="240" w:lineRule="auto"/>
        <w:jc w:val="both"/>
        <w:outlineLvl w:val="0"/>
        <w:rPr>
          <w:rFonts w:ascii="Times New Roman" w:hAnsi="Times New Roman"/>
          <w:b/>
          <w:sz w:val="20"/>
          <w:szCs w:val="20"/>
        </w:rPr>
      </w:pPr>
      <w:r w:rsidRPr="00E00E8D">
        <w:rPr>
          <w:rFonts w:ascii="Times New Roman" w:hAnsi="Times New Roman"/>
          <w:b/>
          <w:sz w:val="20"/>
          <w:szCs w:val="20"/>
        </w:rPr>
        <w:t>Nutrient analysis and physico-chemical parameters measurement</w:t>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One liter of groundwater and surface water samples were collected and filtered through 0.45 mm cellulose acetate membrane. The filtrate was stored in acid prewashed HDPE bottle, chilled with ice and transported back to the lab for nutrients analyses. The measurement of ammonium, NH</w:t>
      </w:r>
      <w:r w:rsidRPr="00E00E8D">
        <w:rPr>
          <w:rFonts w:ascii="Times New Roman" w:hAnsi="Times New Roman"/>
          <w:sz w:val="20"/>
          <w:szCs w:val="20"/>
          <w:vertAlign w:val="subscript"/>
        </w:rPr>
        <w:t>4</w:t>
      </w:r>
      <w:r w:rsidRPr="00E00E8D">
        <w:rPr>
          <w:rFonts w:ascii="Times New Roman" w:hAnsi="Times New Roman"/>
          <w:sz w:val="20"/>
          <w:szCs w:val="20"/>
          <w:vertAlign w:val="superscript"/>
        </w:rPr>
        <w:t>+</w:t>
      </w:r>
      <w:r w:rsidRPr="00E00E8D">
        <w:rPr>
          <w:rFonts w:ascii="Times New Roman" w:hAnsi="Times New Roman"/>
          <w:sz w:val="20"/>
          <w:szCs w:val="20"/>
        </w:rPr>
        <w:t>-N (Phenate Method, 4500-NH</w:t>
      </w:r>
      <w:r w:rsidRPr="00E00E8D">
        <w:rPr>
          <w:rFonts w:ascii="Times New Roman" w:hAnsi="Times New Roman"/>
          <w:sz w:val="20"/>
          <w:szCs w:val="20"/>
          <w:vertAlign w:val="subscript"/>
        </w:rPr>
        <w:t>4</w:t>
      </w:r>
      <w:r w:rsidRPr="00E00E8D">
        <w:rPr>
          <w:rFonts w:ascii="Times New Roman" w:hAnsi="Times New Roman"/>
          <w:sz w:val="20"/>
          <w:szCs w:val="20"/>
          <w:vertAlign w:val="superscript"/>
        </w:rPr>
        <w:t>+</w:t>
      </w:r>
      <w:r w:rsidRPr="00E00E8D">
        <w:rPr>
          <w:rFonts w:ascii="Times New Roman" w:hAnsi="Times New Roman"/>
          <w:sz w:val="20"/>
          <w:szCs w:val="20"/>
        </w:rPr>
        <w:t>-G), nitrite, NO</w:t>
      </w:r>
      <w:r w:rsidRPr="00E00E8D">
        <w:rPr>
          <w:rFonts w:ascii="Times New Roman" w:hAnsi="Times New Roman"/>
          <w:sz w:val="20"/>
          <w:szCs w:val="20"/>
          <w:vertAlign w:val="subscript"/>
        </w:rPr>
        <w:t>2</w:t>
      </w:r>
      <w:r w:rsidRPr="00E00E8D">
        <w:rPr>
          <w:rFonts w:ascii="Times New Roman" w:hAnsi="Times New Roman"/>
          <w:sz w:val="20"/>
          <w:szCs w:val="20"/>
          <w:vertAlign w:val="superscript"/>
        </w:rPr>
        <w:t>-</w:t>
      </w:r>
      <w:r w:rsidRPr="00E00E8D">
        <w:rPr>
          <w:rFonts w:ascii="Times New Roman" w:hAnsi="Times New Roman"/>
          <w:sz w:val="20"/>
          <w:szCs w:val="20"/>
        </w:rPr>
        <w:t>-N (Colorimetric Method, 4500- NO</w:t>
      </w:r>
      <w:r w:rsidRPr="00E00E8D">
        <w:rPr>
          <w:rFonts w:ascii="Times New Roman" w:hAnsi="Times New Roman"/>
          <w:sz w:val="20"/>
          <w:szCs w:val="20"/>
          <w:vertAlign w:val="subscript"/>
        </w:rPr>
        <w:t>2</w:t>
      </w:r>
      <w:r w:rsidRPr="00E00E8D">
        <w:rPr>
          <w:rFonts w:ascii="Times New Roman" w:hAnsi="Times New Roman"/>
          <w:sz w:val="20"/>
          <w:szCs w:val="20"/>
          <w:vertAlign w:val="superscript"/>
        </w:rPr>
        <w:t>-</w:t>
      </w:r>
      <w:r w:rsidRPr="00E00E8D">
        <w:rPr>
          <w:rFonts w:ascii="Times New Roman" w:hAnsi="Times New Roman"/>
          <w:sz w:val="20"/>
          <w:szCs w:val="20"/>
        </w:rPr>
        <w:t>-B), nitrate NO</w:t>
      </w:r>
      <w:r w:rsidRPr="00E00E8D">
        <w:rPr>
          <w:rFonts w:ascii="Times New Roman" w:hAnsi="Times New Roman"/>
          <w:sz w:val="20"/>
          <w:szCs w:val="20"/>
          <w:vertAlign w:val="subscript"/>
        </w:rPr>
        <w:t>3</w:t>
      </w:r>
      <w:r w:rsidRPr="00E00E8D">
        <w:rPr>
          <w:rFonts w:ascii="Times New Roman" w:hAnsi="Times New Roman"/>
          <w:sz w:val="20"/>
          <w:szCs w:val="20"/>
          <w:vertAlign w:val="superscript"/>
        </w:rPr>
        <w:t>-</w:t>
      </w:r>
      <w:r w:rsidRPr="00E00E8D">
        <w:rPr>
          <w:rFonts w:ascii="Times New Roman" w:hAnsi="Times New Roman"/>
          <w:sz w:val="20"/>
          <w:szCs w:val="20"/>
        </w:rPr>
        <w:t>-N (Automated Cadmium Reduction Method, 4500-NO</w:t>
      </w:r>
      <w:r w:rsidRPr="00E00E8D">
        <w:rPr>
          <w:rFonts w:ascii="Times New Roman" w:hAnsi="Times New Roman"/>
          <w:sz w:val="20"/>
          <w:szCs w:val="20"/>
          <w:vertAlign w:val="subscript"/>
        </w:rPr>
        <w:t>3</w:t>
      </w:r>
      <w:r w:rsidRPr="00E00E8D">
        <w:rPr>
          <w:rFonts w:ascii="Times New Roman" w:hAnsi="Times New Roman"/>
          <w:sz w:val="20"/>
          <w:szCs w:val="20"/>
          <w:vertAlign w:val="superscript"/>
        </w:rPr>
        <w:t>-</w:t>
      </w:r>
      <w:r w:rsidRPr="00E00E8D">
        <w:rPr>
          <w:rFonts w:ascii="Times New Roman" w:hAnsi="Times New Roman"/>
          <w:sz w:val="20"/>
          <w:szCs w:val="20"/>
        </w:rPr>
        <w:t>-F) and phosphate PO</w:t>
      </w:r>
      <w:r w:rsidRPr="00E00E8D">
        <w:rPr>
          <w:rFonts w:ascii="Times New Roman" w:hAnsi="Times New Roman"/>
          <w:sz w:val="20"/>
          <w:szCs w:val="20"/>
          <w:vertAlign w:val="subscript"/>
        </w:rPr>
        <w:t>4</w:t>
      </w:r>
      <w:r w:rsidRPr="00E00E8D">
        <w:rPr>
          <w:rFonts w:ascii="Times New Roman" w:hAnsi="Times New Roman"/>
          <w:sz w:val="20"/>
          <w:szCs w:val="20"/>
          <w:vertAlign w:val="superscript"/>
        </w:rPr>
        <w:t>3-</w:t>
      </w:r>
      <w:r w:rsidRPr="00E00E8D">
        <w:rPr>
          <w:rFonts w:ascii="Times New Roman" w:hAnsi="Times New Roman"/>
          <w:sz w:val="20"/>
          <w:szCs w:val="20"/>
        </w:rPr>
        <w:t xml:space="preserve">-P (Ascorbic Acid Method, 4500-P-E) concentrations were conducted by standard spectrophotometric techniques [26]. pH, dissolved oxygen, salinity and water temperature of the surface water and groundwater were measured </w:t>
      </w:r>
      <w:r w:rsidRPr="00E00E8D">
        <w:rPr>
          <w:rFonts w:ascii="Times New Roman" w:hAnsi="Times New Roman"/>
          <w:i/>
          <w:sz w:val="20"/>
          <w:szCs w:val="20"/>
        </w:rPr>
        <w:t>in-situ</w:t>
      </w:r>
      <w:r w:rsidRPr="00E00E8D">
        <w:rPr>
          <w:rFonts w:ascii="Times New Roman" w:hAnsi="Times New Roman"/>
          <w:sz w:val="20"/>
          <w:szCs w:val="20"/>
        </w:rPr>
        <w:t xml:space="preserve"> using a pre-calibrated YSI Professional Plus multiparameter Sonde (Xylem Inc. USA).</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b/>
          <w:sz w:val="20"/>
          <w:szCs w:val="20"/>
        </w:rPr>
      </w:pPr>
      <w:r w:rsidRPr="00E00E8D">
        <w:rPr>
          <w:rFonts w:ascii="Times New Roman" w:hAnsi="Times New Roman"/>
          <w:b/>
          <w:sz w:val="20"/>
          <w:szCs w:val="20"/>
        </w:rPr>
        <w:t>Radon mass balance model</w:t>
      </w:r>
    </w:p>
    <w:p w:rsidR="00D134EC"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In this study, radon mass balance method was used to estimate groundwater discharge rate. This method could provide an excellent time-integrated estimation of groundwater flux [20]. Figure 2 shows that the net radon concentration in a system can be inferred through the quantification of its sources and sink. The radon sources in surface water include the groundwater discharge, diffusive benthic flux and radioactive decay from the radon parental isotope, </w:t>
      </w:r>
      <w:r w:rsidRPr="00E00E8D">
        <w:rPr>
          <w:rFonts w:ascii="Times New Roman" w:hAnsi="Times New Roman"/>
          <w:sz w:val="20"/>
          <w:szCs w:val="20"/>
          <w:vertAlign w:val="superscript"/>
        </w:rPr>
        <w:t>226</w:t>
      </w:r>
      <w:r w:rsidRPr="00E00E8D">
        <w:rPr>
          <w:rFonts w:ascii="Times New Roman" w:hAnsi="Times New Roman"/>
          <w:sz w:val="20"/>
          <w:szCs w:val="20"/>
        </w:rPr>
        <w:t xml:space="preserve">Ra in the water column while atmospheric evasion or outgassing is the only sink for radon in surface water. </w:t>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noProof/>
          <w:sz w:val="20"/>
          <w:szCs w:val="20"/>
          <w:lang w:val="en-GB" w:eastAsia="ko-KR" w:bidi="ar-SA"/>
        </w:rPr>
        <w:lastRenderedPageBreak/>
        <w:drawing>
          <wp:anchor distT="0" distB="0" distL="114300" distR="114300" simplePos="0" relativeHeight="251684352" behindDoc="0" locked="0" layoutInCell="1" allowOverlap="1" wp14:anchorId="67533EB2" wp14:editId="7F992992">
            <wp:simplePos x="0" y="0"/>
            <wp:positionH relativeFrom="column">
              <wp:posOffset>2259330</wp:posOffset>
            </wp:positionH>
            <wp:positionV relativeFrom="paragraph">
              <wp:posOffset>66040</wp:posOffset>
            </wp:positionV>
            <wp:extent cx="1447333" cy="2087592"/>
            <wp:effectExtent l="0" t="0" r="635" b="8255"/>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447333" cy="2087592"/>
                    </a:xfrm>
                    <a:prstGeom prst="rect">
                      <a:avLst/>
                    </a:prstGeom>
                  </pic:spPr>
                </pic:pic>
              </a:graphicData>
            </a:graphic>
            <wp14:sizeRelH relativeFrom="margin">
              <wp14:pctWidth>0</wp14:pctWidth>
            </wp14:sizeRelH>
            <wp14:sizeRelV relativeFrom="margin">
              <wp14:pctHeight>0</wp14:pctHeight>
            </wp14:sizeRelV>
          </wp:anchor>
        </w:drawing>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iCs/>
          <w:sz w:val="20"/>
          <w:szCs w:val="20"/>
        </w:rPr>
      </w:pPr>
      <w:bookmarkStart w:id="1" w:name="_Toc495243624"/>
    </w:p>
    <w:p w:rsidR="00E00E8D" w:rsidRPr="00E00E8D" w:rsidRDefault="00E00E8D" w:rsidP="00E00E8D">
      <w:pPr>
        <w:spacing w:after="0" w:line="240" w:lineRule="auto"/>
        <w:jc w:val="both"/>
        <w:outlineLvl w:val="0"/>
        <w:rPr>
          <w:rFonts w:ascii="Times New Roman" w:hAnsi="Times New Roman"/>
          <w:iCs/>
          <w:sz w:val="20"/>
          <w:szCs w:val="20"/>
        </w:rPr>
      </w:pPr>
    </w:p>
    <w:p w:rsidR="00E00E8D" w:rsidRPr="00E00E8D" w:rsidRDefault="00E00E8D" w:rsidP="00DB504F">
      <w:pPr>
        <w:spacing w:after="240" w:line="240" w:lineRule="auto"/>
        <w:jc w:val="both"/>
        <w:outlineLvl w:val="0"/>
        <w:rPr>
          <w:rFonts w:ascii="Times New Roman" w:hAnsi="Times New Roman"/>
          <w:iCs/>
          <w:sz w:val="20"/>
          <w:szCs w:val="20"/>
        </w:rPr>
      </w:pPr>
    </w:p>
    <w:p w:rsidR="00E00E8D" w:rsidRPr="00E00E8D" w:rsidRDefault="00E00E8D" w:rsidP="00DB504F">
      <w:pPr>
        <w:spacing w:before="120" w:after="0" w:line="240" w:lineRule="auto"/>
        <w:jc w:val="center"/>
        <w:outlineLvl w:val="0"/>
        <w:rPr>
          <w:rFonts w:ascii="Times New Roman" w:hAnsi="Times New Roman"/>
          <w:iCs/>
          <w:sz w:val="20"/>
          <w:szCs w:val="20"/>
        </w:rPr>
      </w:pPr>
      <w:r>
        <w:rPr>
          <w:rFonts w:ascii="Times New Roman" w:hAnsi="Times New Roman"/>
          <w:iCs/>
          <w:sz w:val="20"/>
          <w:szCs w:val="20"/>
        </w:rPr>
        <w:t xml:space="preserve">Figure </w:t>
      </w:r>
      <w:r w:rsidRPr="00E00E8D">
        <w:rPr>
          <w:rFonts w:ascii="Times New Roman" w:hAnsi="Times New Roman"/>
          <w:iCs/>
          <w:sz w:val="20"/>
          <w:szCs w:val="20"/>
        </w:rPr>
        <w:t>2</w:t>
      </w:r>
      <w:r>
        <w:rPr>
          <w:rFonts w:ascii="Times New Roman" w:hAnsi="Times New Roman"/>
          <w:iCs/>
          <w:sz w:val="20"/>
          <w:szCs w:val="20"/>
        </w:rPr>
        <w:t xml:space="preserve">. </w:t>
      </w:r>
      <w:r w:rsidRPr="00E00E8D">
        <w:rPr>
          <w:rFonts w:ascii="Times New Roman" w:hAnsi="Times New Roman"/>
          <w:iCs/>
          <w:sz w:val="20"/>
          <w:szCs w:val="20"/>
        </w:rPr>
        <w:t xml:space="preserve"> Radon mass balance model</w:t>
      </w:r>
      <w:bookmarkEnd w:id="1"/>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Changes in groundwater flux (Q</w:t>
      </w:r>
      <w:r w:rsidRPr="00E00E8D">
        <w:rPr>
          <w:rFonts w:ascii="Times New Roman" w:hAnsi="Times New Roman"/>
          <w:sz w:val="20"/>
          <w:szCs w:val="20"/>
          <w:vertAlign w:val="subscript"/>
        </w:rPr>
        <w:t>flux</w:t>
      </w:r>
      <w:r w:rsidRPr="00E00E8D">
        <w:rPr>
          <w:rFonts w:ascii="Times New Roman" w:hAnsi="Times New Roman"/>
          <w:sz w:val="20"/>
          <w:szCs w:val="20"/>
        </w:rPr>
        <w:t xml:space="preserve">) within a river can be expressed as: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3D78A0" w:rsidP="00E00E8D">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flux</m:t>
            </m:r>
          </m:sub>
        </m:sSub>
        <m: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Rn</m:t>
                </m:r>
              </m:e>
              <m:sub>
                <m:r>
                  <w:rPr>
                    <w:rFonts w:ascii="Cambria Math" w:hAnsi="Cambria Math"/>
                    <w:sz w:val="20"/>
                    <w:szCs w:val="20"/>
                  </w:rPr>
                  <m:t>surface</m:t>
                </m:r>
              </m:sub>
            </m:sSub>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Rn</m:t>
                </m:r>
              </m:e>
              <m:sub>
                <m:r>
                  <w:rPr>
                    <w:rFonts w:ascii="Cambria Math" w:hAnsi="Cambria Math"/>
                    <w:sz w:val="20"/>
                    <w:szCs w:val="20"/>
                  </w:rPr>
                  <m:t>atmospheric</m:t>
                </m:r>
              </m:sub>
            </m:sSub>
            <m:r>
              <w:rPr>
                <w:rFonts w:ascii="Cambria Math" w:hAnsi="Cambria Math"/>
                <w:sz w:val="20"/>
                <w:szCs w:val="20"/>
              </w:rPr>
              <m:t>-</m:t>
            </m:r>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Rn</m:t>
                    </m:r>
                  </m:e>
                  <m:sub>
                    <m:r>
                      <w:rPr>
                        <w:rFonts w:ascii="Cambria Math" w:hAnsi="Cambria Math"/>
                        <w:sz w:val="20"/>
                        <w:szCs w:val="20"/>
                      </w:rPr>
                      <m:t>radium</m:t>
                    </m:r>
                  </m:sub>
                </m:sSub>
                <m:r>
                  <w:rPr>
                    <w:rFonts w:ascii="Cambria Math" w:hAnsi="Cambria Math"/>
                    <w:sz w:val="20"/>
                    <w:szCs w:val="20"/>
                  </w:rPr>
                  <m:t>-Rn</m:t>
                </m:r>
              </m:e>
              <m:sub>
                <m:r>
                  <w:rPr>
                    <w:rFonts w:ascii="Cambria Math" w:hAnsi="Cambria Math"/>
                    <w:sz w:val="20"/>
                    <w:szCs w:val="20"/>
                  </w:rPr>
                  <m:t>sediment</m:t>
                </m:r>
              </m:sub>
            </m:sSub>
          </m:num>
          <m:den>
            <m:sSub>
              <m:sSubPr>
                <m:ctrlPr>
                  <w:rPr>
                    <w:rFonts w:ascii="Cambria Math" w:hAnsi="Cambria Math"/>
                    <w:sz w:val="20"/>
                    <w:szCs w:val="20"/>
                  </w:rPr>
                </m:ctrlPr>
              </m:sSubPr>
              <m:e>
                <m:r>
                  <w:rPr>
                    <w:rFonts w:ascii="Cambria Math" w:hAnsi="Cambria Math"/>
                    <w:sz w:val="20"/>
                    <w:szCs w:val="20"/>
                  </w:rPr>
                  <m:t>Rn</m:t>
                </m:r>
              </m:e>
              <m:sub>
                <m:r>
                  <w:rPr>
                    <w:rFonts w:ascii="Cambria Math" w:hAnsi="Cambria Math"/>
                    <w:sz w:val="20"/>
                    <w:szCs w:val="20"/>
                  </w:rPr>
                  <m:t>end-member</m:t>
                </m:r>
              </m:sub>
            </m:sSub>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v</m:t>
            </m:r>
          </m:sub>
        </m:sSub>
      </m:oMath>
      <w:r w:rsidR="00E00E8D" w:rsidRPr="00E00E8D">
        <w:rPr>
          <w:rFonts w:ascii="Times New Roman" w:hAnsi="Times New Roman"/>
          <w:sz w:val="20"/>
          <w:szCs w:val="20"/>
        </w:rPr>
        <w:tab/>
        <w:t xml:space="preserve">   </w:t>
      </w:r>
      <w:r w:rsidR="00E00E8D" w:rsidRPr="00E00E8D">
        <w:rPr>
          <w:rFonts w:ascii="Times New Roman" w:hAnsi="Times New Roman"/>
          <w:sz w:val="20"/>
          <w:szCs w:val="20"/>
        </w:rPr>
        <w:tab/>
      </w:r>
      <w:r w:rsidR="00E00E8D" w:rsidRPr="00E00E8D">
        <w:rPr>
          <w:rFonts w:ascii="Times New Roman" w:hAnsi="Times New Roman"/>
          <w:sz w:val="20"/>
          <w:szCs w:val="20"/>
        </w:rPr>
        <w:tab/>
      </w:r>
      <w:r w:rsidR="00E00E8D" w:rsidRPr="00E00E8D">
        <w:rPr>
          <w:rFonts w:ascii="Times New Roman" w:hAnsi="Times New Roman"/>
          <w:sz w:val="20"/>
          <w:szCs w:val="20"/>
        </w:rPr>
        <w:tab/>
      </w:r>
      <w:r w:rsidR="00E00E8D" w:rsidRPr="00E00E8D">
        <w:rPr>
          <w:rFonts w:ascii="Times New Roman" w:hAnsi="Times New Roman"/>
          <w:sz w:val="20"/>
          <w:szCs w:val="20"/>
        </w:rPr>
        <w:tab/>
        <w:t xml:space="preserve"> </w:t>
      </w:r>
      <w:r w:rsidR="00DB504F">
        <w:rPr>
          <w:rFonts w:ascii="Times New Roman" w:hAnsi="Times New Roman"/>
          <w:sz w:val="20"/>
          <w:szCs w:val="20"/>
        </w:rPr>
        <w:t xml:space="preserve">      </w:t>
      </w:r>
      <w:r w:rsidR="00E00E8D" w:rsidRPr="00E00E8D">
        <w:rPr>
          <w:rFonts w:ascii="Times New Roman" w:hAnsi="Times New Roman"/>
          <w:sz w:val="20"/>
          <w:szCs w:val="20"/>
        </w:rPr>
        <w:t xml:space="preserve">  (1)</w:t>
      </w:r>
      <m:oMath>
        <m:r>
          <m:rPr>
            <m:sty m:val="p"/>
          </m:rPr>
          <w:rPr>
            <w:rFonts w:ascii="Cambria Math" w:hAnsi="Cambria Math"/>
            <w:sz w:val="20"/>
            <w:szCs w:val="20"/>
          </w:rPr>
          <w:br/>
        </m:r>
      </m:oMath>
    </w:p>
    <w:p w:rsidR="00E00E8D" w:rsidRPr="00E00E8D" w:rsidRDefault="003D78A0" w:rsidP="00E00E8D">
      <w:pPr>
        <w:spacing w:after="0" w:line="240" w:lineRule="auto"/>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flux</m:t>
            </m:r>
          </m:sub>
        </m:sSub>
      </m:oMath>
      <w:r w:rsidR="00E00E8D" w:rsidRPr="00E00E8D">
        <w:rPr>
          <w:rFonts w:ascii="Times New Roman" w:hAnsi="Times New Roman"/>
          <w:sz w:val="20"/>
          <w:szCs w:val="20"/>
        </w:rPr>
        <w:t xml:space="preserve"> is the groundwater flux, expressed as</w:t>
      </w:r>
      <m:oMath>
        <m:r>
          <w:rPr>
            <w:rFonts w:ascii="Cambria Math" w:hAnsi="Cambria Math"/>
            <w:sz w:val="20"/>
            <w:szCs w:val="20"/>
          </w:rPr>
          <m:t xml:space="preserve"> </m:t>
        </m:r>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3</m:t>
            </m:r>
          </m:sup>
        </m:sSup>
        <m:sSup>
          <m:sSupPr>
            <m:ctrlPr>
              <w:rPr>
                <w:rFonts w:ascii="Cambria Math" w:hAnsi="Cambria Math"/>
                <w:i/>
                <w:sz w:val="20"/>
                <w:szCs w:val="20"/>
              </w:rPr>
            </m:ctrlPr>
          </m:sSupPr>
          <m:e>
            <m:r>
              <w:rPr>
                <w:rFonts w:ascii="Cambria Math" w:hAnsi="Cambria Math"/>
                <w:sz w:val="20"/>
                <w:szCs w:val="20"/>
              </w:rPr>
              <m:t>d</m:t>
            </m:r>
          </m:e>
          <m:sup>
            <m:r>
              <w:rPr>
                <w:rFonts w:ascii="Cambria Math" w:hAnsi="Cambria Math"/>
                <w:sz w:val="20"/>
                <w:szCs w:val="20"/>
              </w:rPr>
              <m:t>-1</m:t>
            </m:r>
          </m:sup>
        </m:sSup>
      </m:oMath>
      <w:r w:rsidR="00E00E8D" w:rsidRPr="00E00E8D">
        <w:rPr>
          <w:rFonts w:ascii="Times New Roman" w:hAnsi="Times New Roman"/>
          <w:sz w:val="20"/>
          <w:szCs w:val="20"/>
        </w:rPr>
        <w:t>; Rn</w:t>
      </w:r>
      <w:r w:rsidR="00E00E8D" w:rsidRPr="00E00E8D">
        <w:rPr>
          <w:rFonts w:ascii="Times New Roman" w:hAnsi="Times New Roman"/>
          <w:i/>
          <w:sz w:val="20"/>
          <w:szCs w:val="20"/>
          <w:vertAlign w:val="subscript"/>
        </w:rPr>
        <w:t xml:space="preserve">surface </w:t>
      </w:r>
      <w:r w:rsidR="00E00E8D" w:rsidRPr="00E00E8D">
        <w:rPr>
          <w:rFonts w:ascii="Times New Roman" w:hAnsi="Times New Roman"/>
          <w:sz w:val="20"/>
          <w:szCs w:val="20"/>
        </w:rPr>
        <w:t>is the radon concentration in the surface water of Ular River (</w:t>
      </w:r>
      <m:oMath>
        <m:r>
          <w:rPr>
            <w:rFonts w:ascii="Cambria Math" w:hAnsi="Cambria Math"/>
            <w:sz w:val="20"/>
            <w:szCs w:val="20"/>
            <w:vertAlign w:val="superscript"/>
          </w:rPr>
          <m:t>Bq/</m:t>
        </m:r>
        <m:sSup>
          <m:sSupPr>
            <m:ctrlPr>
              <w:rPr>
                <w:rFonts w:ascii="Cambria Math" w:hAnsi="Cambria Math"/>
                <w:i/>
                <w:sz w:val="20"/>
                <w:szCs w:val="20"/>
                <w:vertAlign w:val="superscript"/>
              </w:rPr>
            </m:ctrlPr>
          </m:sSupPr>
          <m:e>
            <m:r>
              <w:rPr>
                <w:rFonts w:ascii="Cambria Math" w:hAnsi="Cambria Math"/>
                <w:sz w:val="20"/>
                <w:szCs w:val="20"/>
                <w:vertAlign w:val="superscript"/>
              </w:rPr>
              <m:t>m</m:t>
            </m:r>
          </m:e>
          <m:sup>
            <m:r>
              <w:rPr>
                <w:rFonts w:ascii="Cambria Math" w:hAnsi="Cambria Math"/>
                <w:sz w:val="20"/>
                <w:szCs w:val="20"/>
                <w:vertAlign w:val="superscript"/>
              </w:rPr>
              <m:t>3</m:t>
            </m:r>
          </m:sup>
        </m:sSup>
      </m:oMath>
      <w:r w:rsidR="00E00E8D" w:rsidRPr="00E00E8D">
        <w:rPr>
          <w:rFonts w:ascii="Times New Roman" w:hAnsi="Times New Roman"/>
          <w:sz w:val="20"/>
          <w:szCs w:val="20"/>
        </w:rPr>
        <w:t>); Rn</w:t>
      </w:r>
      <w:r w:rsidR="00E00E8D" w:rsidRPr="00E00E8D">
        <w:rPr>
          <w:rFonts w:ascii="Times New Roman" w:hAnsi="Times New Roman"/>
          <w:i/>
          <w:sz w:val="20"/>
          <w:szCs w:val="20"/>
          <w:vertAlign w:val="subscript"/>
        </w:rPr>
        <w:t>atmospheric</w:t>
      </w:r>
      <w:r w:rsidR="00E00E8D" w:rsidRPr="00E00E8D">
        <w:rPr>
          <w:rFonts w:ascii="Times New Roman" w:hAnsi="Times New Roman"/>
          <w:sz w:val="20"/>
          <w:szCs w:val="20"/>
        </w:rPr>
        <w:t xml:space="preserve"> is the radon loss to the atmosphere (</w:t>
      </w:r>
      <m:oMath>
        <m:r>
          <w:rPr>
            <w:rFonts w:ascii="Cambria Math" w:hAnsi="Cambria Math"/>
            <w:sz w:val="20"/>
            <w:szCs w:val="20"/>
          </w:rPr>
          <m:t>Bq</m:t>
        </m:r>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2</m:t>
            </m:r>
          </m:sup>
        </m:sSup>
        <m:r>
          <w:rPr>
            <w:rFonts w:ascii="Cambria Math" w:hAnsi="Cambria Math"/>
            <w:sz w:val="20"/>
            <w:szCs w:val="20"/>
          </w:rPr>
          <m:t>day</m:t>
        </m:r>
      </m:oMath>
      <w:r w:rsidR="00E00E8D" w:rsidRPr="00E00E8D">
        <w:rPr>
          <w:rFonts w:ascii="Times New Roman" w:hAnsi="Times New Roman"/>
          <w:sz w:val="20"/>
          <w:szCs w:val="20"/>
        </w:rPr>
        <w:t>); Rn</w:t>
      </w:r>
      <w:r w:rsidR="00E00E8D" w:rsidRPr="00E00E8D">
        <w:rPr>
          <w:rFonts w:ascii="Times New Roman" w:hAnsi="Times New Roman"/>
          <w:i/>
          <w:sz w:val="20"/>
          <w:szCs w:val="20"/>
          <w:vertAlign w:val="subscript"/>
        </w:rPr>
        <w:t xml:space="preserve">radium </w:t>
      </w:r>
      <w:r w:rsidR="00E00E8D" w:rsidRPr="00E00E8D">
        <w:rPr>
          <w:rFonts w:ascii="Times New Roman" w:hAnsi="Times New Roman"/>
          <w:sz w:val="20"/>
          <w:szCs w:val="20"/>
        </w:rPr>
        <w:t>is the radon contributed by radium-226 in the surface water</w:t>
      </w:r>
      <m:oMath>
        <m:r>
          <w:rPr>
            <w:rFonts w:ascii="Cambria Math" w:hAnsi="Cambria Math"/>
            <w:sz w:val="20"/>
            <w:szCs w:val="20"/>
          </w:rPr>
          <m:t xml:space="preserve"> (Bq/</m:t>
        </m:r>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3</m:t>
            </m:r>
          </m:sup>
        </m:sSup>
        <m:r>
          <w:rPr>
            <w:rFonts w:ascii="Cambria Math" w:hAnsi="Cambria Math"/>
            <w:sz w:val="20"/>
            <w:szCs w:val="20"/>
          </w:rPr>
          <m:t>)</m:t>
        </m:r>
      </m:oMath>
      <w:r w:rsidR="00E00E8D" w:rsidRPr="00E00E8D">
        <w:rPr>
          <w:rFonts w:ascii="Times New Roman" w:hAnsi="Times New Roman"/>
          <w:sz w:val="20"/>
          <w:szCs w:val="20"/>
        </w:rPr>
        <w:t>; Rn</w:t>
      </w:r>
      <w:r w:rsidR="00E00E8D" w:rsidRPr="00E00E8D">
        <w:rPr>
          <w:rFonts w:ascii="Times New Roman" w:hAnsi="Times New Roman"/>
          <w:i/>
          <w:sz w:val="20"/>
          <w:szCs w:val="20"/>
          <w:vertAlign w:val="subscript"/>
        </w:rPr>
        <w:t>sediment</w:t>
      </w:r>
      <w:r w:rsidR="00E00E8D" w:rsidRPr="00E00E8D">
        <w:rPr>
          <w:rFonts w:ascii="Times New Roman" w:hAnsi="Times New Roman"/>
          <w:sz w:val="20"/>
          <w:szCs w:val="20"/>
        </w:rPr>
        <w:t xml:space="preserve"> is the radon contributed by the sediment diffusion in the water column (</w:t>
      </w:r>
      <m:oMath>
        <m:r>
          <w:rPr>
            <w:rFonts w:ascii="Cambria Math" w:hAnsi="Cambria Math"/>
            <w:sz w:val="20"/>
            <w:szCs w:val="20"/>
          </w:rPr>
          <m:t>Bq</m:t>
        </m:r>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2</m:t>
            </m:r>
          </m:sup>
        </m:sSup>
        <m:r>
          <w:rPr>
            <w:rFonts w:ascii="Cambria Math" w:hAnsi="Cambria Math"/>
            <w:sz w:val="20"/>
            <w:szCs w:val="20"/>
          </w:rPr>
          <m:t>day</m:t>
        </m:r>
      </m:oMath>
      <w:r w:rsidR="00E00E8D" w:rsidRPr="00E00E8D">
        <w:rPr>
          <w:rFonts w:ascii="Times New Roman" w:hAnsi="Times New Roman"/>
          <w:sz w:val="20"/>
          <w:szCs w:val="20"/>
        </w:rPr>
        <w:t>); Rn</w:t>
      </w:r>
      <w:r w:rsidR="00E00E8D" w:rsidRPr="00E00E8D">
        <w:rPr>
          <w:rFonts w:ascii="Times New Roman" w:hAnsi="Times New Roman"/>
          <w:i/>
          <w:sz w:val="20"/>
          <w:szCs w:val="20"/>
          <w:vertAlign w:val="subscript"/>
        </w:rPr>
        <w:t xml:space="preserve">end-member </w:t>
      </w:r>
      <w:r w:rsidR="00E00E8D" w:rsidRPr="00E00E8D">
        <w:rPr>
          <w:rFonts w:ascii="Times New Roman" w:hAnsi="Times New Roman"/>
          <w:sz w:val="20"/>
          <w:szCs w:val="20"/>
        </w:rPr>
        <w:t>is the radon concentration in the groundwater end-member (</w:t>
      </w:r>
      <m:oMath>
        <m:r>
          <w:rPr>
            <w:rFonts w:ascii="Cambria Math" w:hAnsi="Cambria Math"/>
            <w:sz w:val="20"/>
            <w:szCs w:val="20"/>
            <w:vertAlign w:val="superscript"/>
          </w:rPr>
          <m:t>Bq/</m:t>
        </m:r>
        <m:sSup>
          <m:sSupPr>
            <m:ctrlPr>
              <w:rPr>
                <w:rFonts w:ascii="Cambria Math" w:hAnsi="Cambria Math"/>
                <w:i/>
                <w:sz w:val="20"/>
                <w:szCs w:val="20"/>
                <w:vertAlign w:val="superscript"/>
              </w:rPr>
            </m:ctrlPr>
          </m:sSupPr>
          <m:e>
            <m:r>
              <w:rPr>
                <w:rFonts w:ascii="Cambria Math" w:hAnsi="Cambria Math"/>
                <w:sz w:val="20"/>
                <w:szCs w:val="20"/>
                <w:vertAlign w:val="superscript"/>
              </w:rPr>
              <m:t>m</m:t>
            </m:r>
          </m:e>
          <m:sup>
            <m:r>
              <w:rPr>
                <w:rFonts w:ascii="Cambria Math" w:hAnsi="Cambria Math"/>
                <w:sz w:val="20"/>
                <w:szCs w:val="20"/>
                <w:vertAlign w:val="superscript"/>
              </w:rPr>
              <m:t>3</m:t>
            </m:r>
          </m:sup>
        </m:sSup>
      </m:oMath>
      <w:r w:rsidR="00E00E8D" w:rsidRPr="00E00E8D">
        <w:rPr>
          <w:rFonts w:ascii="Times New Roman" w:hAnsi="Times New Roman"/>
          <w:sz w:val="20"/>
          <w:szCs w:val="20"/>
        </w:rPr>
        <w:t xml:space="preserve">) and </w:t>
      </w:r>
      <w:r w:rsidR="00E00E8D" w:rsidRPr="00E00E8D">
        <w:rPr>
          <w:rFonts w:ascii="Times New Roman" w:hAnsi="Times New Roman"/>
          <w:i/>
          <w:sz w:val="20"/>
          <w:szCs w:val="20"/>
        </w:rPr>
        <w:t>D</w:t>
      </w:r>
      <w:r w:rsidR="00E00E8D" w:rsidRPr="00E00E8D">
        <w:rPr>
          <w:rFonts w:ascii="Times New Roman" w:hAnsi="Times New Roman"/>
          <w:i/>
          <w:sz w:val="20"/>
          <w:szCs w:val="20"/>
          <w:vertAlign w:val="subscript"/>
        </w:rPr>
        <w:t xml:space="preserve">v </w:t>
      </w:r>
      <w:r w:rsidR="00E00E8D" w:rsidRPr="00E00E8D">
        <w:rPr>
          <w:rFonts w:ascii="Times New Roman" w:hAnsi="Times New Roman"/>
          <w:sz w:val="20"/>
          <w:szCs w:val="20"/>
        </w:rPr>
        <w:t>is the total riverine discharge rate (</w:t>
      </w:r>
      <m:oMath>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3</m:t>
            </m:r>
          </m:sup>
        </m:sSup>
        <m:r>
          <w:rPr>
            <w:rFonts w:ascii="Cambria Math" w:hAnsi="Cambria Math"/>
            <w:sz w:val="20"/>
            <w:szCs w:val="20"/>
          </w:rPr>
          <m:t>/day</m:t>
        </m:r>
      </m:oMath>
      <w:r w:rsidR="00E00E8D" w:rsidRPr="00E00E8D">
        <w:rPr>
          <w:rFonts w:ascii="Times New Roman" w:hAnsi="Times New Roman"/>
          <w:sz w:val="20"/>
          <w:szCs w:val="20"/>
        </w:rPr>
        <w:t xml:space="preserve">) in Ular River.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Total riverine discharge rate (</w:t>
      </w:r>
      <w:r w:rsidRPr="00E00E8D">
        <w:rPr>
          <w:rFonts w:ascii="Times New Roman" w:hAnsi="Times New Roman"/>
          <w:i/>
          <w:sz w:val="20"/>
          <w:szCs w:val="20"/>
        </w:rPr>
        <w:t>D</w:t>
      </w:r>
      <w:r w:rsidRPr="00E00E8D">
        <w:rPr>
          <w:rFonts w:ascii="Times New Roman" w:hAnsi="Times New Roman"/>
          <w:i/>
          <w:sz w:val="20"/>
          <w:szCs w:val="20"/>
          <w:vertAlign w:val="subscript"/>
        </w:rPr>
        <w:t>v</w:t>
      </w:r>
      <w:r w:rsidRPr="00E00E8D">
        <w:rPr>
          <w:rFonts w:ascii="Times New Roman" w:hAnsi="Times New Roman"/>
          <w:sz w:val="20"/>
          <w:szCs w:val="20"/>
        </w:rPr>
        <w:t>) was obtained by the multiply the average current velocity (ms</w:t>
      </w:r>
      <w:r w:rsidRPr="00E00E8D">
        <w:rPr>
          <w:rFonts w:ascii="Times New Roman" w:hAnsi="Times New Roman"/>
          <w:sz w:val="20"/>
          <w:szCs w:val="20"/>
          <w:vertAlign w:val="superscript"/>
        </w:rPr>
        <w:t>-1</w:t>
      </w:r>
      <w:r w:rsidRPr="00E00E8D">
        <w:rPr>
          <w:rFonts w:ascii="Times New Roman" w:hAnsi="Times New Roman"/>
          <w:sz w:val="20"/>
          <w:szCs w:val="20"/>
        </w:rPr>
        <w:t>) with the average cross-sections of the river (m</w:t>
      </w:r>
      <w:r w:rsidRPr="00E00E8D">
        <w:rPr>
          <w:rFonts w:ascii="Times New Roman" w:hAnsi="Times New Roman"/>
          <w:sz w:val="20"/>
          <w:szCs w:val="20"/>
          <w:vertAlign w:val="superscript"/>
        </w:rPr>
        <w:t>2</w:t>
      </w:r>
      <w:r w:rsidRPr="00E00E8D">
        <w:rPr>
          <w:rFonts w:ascii="Times New Roman" w:hAnsi="Times New Roman"/>
          <w:sz w:val="20"/>
          <w:szCs w:val="20"/>
        </w:rPr>
        <w:t xml:space="preserve">).  The velocity distribution in the river </w:t>
      </w:r>
      <w:r w:rsidRPr="00E00E8D">
        <w:rPr>
          <w:rFonts w:ascii="Times New Roman" w:hAnsi="Times New Roman"/>
          <w:iCs/>
          <w:sz w:val="20"/>
          <w:szCs w:val="20"/>
        </w:rPr>
        <w:t xml:space="preserve">was </w:t>
      </w:r>
      <w:r w:rsidRPr="00E00E8D">
        <w:rPr>
          <w:rFonts w:ascii="Times New Roman" w:hAnsi="Times New Roman"/>
          <w:sz w:val="20"/>
          <w:szCs w:val="20"/>
        </w:rPr>
        <w:t xml:space="preserve">measured by a handheld velocity flowmeter (Hach Co. USA), while the cross-sections and the average water depth of the river was measured using a measuring tape. </w:t>
      </w:r>
    </w:p>
    <w:p w:rsidR="00E00E8D" w:rsidRPr="00E00E8D" w:rsidRDefault="00E00E8D" w:rsidP="00E00E8D">
      <w:pPr>
        <w:spacing w:after="0" w:line="240" w:lineRule="auto"/>
        <w:jc w:val="both"/>
        <w:outlineLvl w:val="0"/>
        <w:rPr>
          <w:rFonts w:ascii="Times New Roman" w:hAnsi="Times New Roman"/>
          <w:i/>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Fourteen surface water samples (40L each) were brought back to the lab for radium (Rn</w:t>
      </w:r>
      <w:r w:rsidRPr="00E00E8D">
        <w:rPr>
          <w:rFonts w:ascii="Times New Roman" w:hAnsi="Times New Roman"/>
          <w:i/>
          <w:sz w:val="20"/>
          <w:szCs w:val="20"/>
          <w:vertAlign w:val="subscript"/>
        </w:rPr>
        <w:t>radium</w:t>
      </w:r>
      <w:r w:rsidRPr="00E00E8D">
        <w:rPr>
          <w:rFonts w:ascii="Times New Roman" w:hAnsi="Times New Roman"/>
          <w:sz w:val="20"/>
          <w:szCs w:val="20"/>
        </w:rPr>
        <w:t xml:space="preserve">) measurement. </w:t>
      </w:r>
      <w:r w:rsidRPr="00E00E8D">
        <w:rPr>
          <w:rFonts w:ascii="Times New Roman" w:hAnsi="Times New Roman"/>
          <w:sz w:val="20"/>
          <w:szCs w:val="20"/>
          <w:lang w:eastAsia="zh-CN"/>
        </w:rPr>
        <w:t xml:space="preserve">The measurement of </w:t>
      </w:r>
      <w:r w:rsidRPr="00E00E8D">
        <w:rPr>
          <w:rFonts w:ascii="Times New Roman" w:hAnsi="Times New Roman"/>
          <w:sz w:val="20"/>
          <w:szCs w:val="20"/>
        </w:rPr>
        <w:t>Rn</w:t>
      </w:r>
      <w:r w:rsidRPr="00E00E8D">
        <w:rPr>
          <w:rFonts w:ascii="Times New Roman" w:hAnsi="Times New Roman"/>
          <w:i/>
          <w:sz w:val="20"/>
          <w:szCs w:val="20"/>
          <w:vertAlign w:val="subscript"/>
        </w:rPr>
        <w:t>radium</w:t>
      </w:r>
      <w:r w:rsidRPr="00E00E8D">
        <w:rPr>
          <w:rFonts w:ascii="Times New Roman" w:hAnsi="Times New Roman"/>
          <w:sz w:val="20"/>
          <w:szCs w:val="20"/>
          <w:lang w:eastAsia="zh-CN"/>
        </w:rPr>
        <w:t xml:space="preserve"> followed </w:t>
      </w:r>
      <w:r w:rsidRPr="00E00E8D">
        <w:rPr>
          <w:rFonts w:ascii="Times New Roman" w:hAnsi="Times New Roman"/>
          <w:sz w:val="20"/>
          <w:szCs w:val="20"/>
        </w:rPr>
        <w:t xml:space="preserve">method as described in [16, 27]. In general, the radium samples were first pre-concentrated by passing the water samples through the manganese oxide impregnated fiber inside a PVC cartridge (Figure 3). The cartridge was 250 mm in length, 50 mm in diameter clear PVC tube coupled with a 50 mm PVC end cap and Union at both ends. Two brass ball valves with thread tape were then installed on the end cap and Union. The loaded manganese cartridge after the pre-concentration step was sealed inside the air-tight cartridge and left for 14 days in order to achieve </w:t>
      </w:r>
      <w:r w:rsidRPr="00E00E8D">
        <w:rPr>
          <w:rFonts w:ascii="Times New Roman" w:hAnsi="Times New Roman"/>
          <w:sz w:val="20"/>
          <w:szCs w:val="20"/>
          <w:vertAlign w:val="superscript"/>
        </w:rPr>
        <w:t>226</w:t>
      </w:r>
      <w:r w:rsidRPr="00E00E8D">
        <w:rPr>
          <w:rFonts w:ascii="Times New Roman" w:hAnsi="Times New Roman"/>
          <w:sz w:val="20"/>
          <w:szCs w:val="20"/>
        </w:rPr>
        <w:t xml:space="preserve">Ra and </w:t>
      </w:r>
      <w:r w:rsidRPr="00E00E8D">
        <w:rPr>
          <w:rFonts w:ascii="Times New Roman" w:hAnsi="Times New Roman"/>
          <w:sz w:val="20"/>
          <w:szCs w:val="20"/>
          <w:vertAlign w:val="superscript"/>
        </w:rPr>
        <w:t>222</w:t>
      </w:r>
      <w:r w:rsidRPr="00E00E8D">
        <w:rPr>
          <w:rFonts w:ascii="Times New Roman" w:hAnsi="Times New Roman"/>
          <w:sz w:val="20"/>
          <w:szCs w:val="20"/>
        </w:rPr>
        <w:t xml:space="preserve">Rn secular equilibrium [27]. The measurement of radon contributed by </w:t>
      </w:r>
      <w:r w:rsidRPr="00E00E8D">
        <w:rPr>
          <w:rFonts w:ascii="Times New Roman" w:hAnsi="Times New Roman"/>
          <w:sz w:val="20"/>
          <w:szCs w:val="20"/>
          <w:vertAlign w:val="superscript"/>
        </w:rPr>
        <w:t>226</w:t>
      </w:r>
      <w:r w:rsidRPr="00E00E8D">
        <w:rPr>
          <w:rFonts w:ascii="Times New Roman" w:hAnsi="Times New Roman"/>
          <w:sz w:val="20"/>
          <w:szCs w:val="20"/>
        </w:rPr>
        <w:t>Ra in the surface water was completed by RAD7.</w:t>
      </w:r>
    </w:p>
    <w:p w:rsidR="00D134EC" w:rsidRPr="00E00E8D" w:rsidRDefault="00D134EC" w:rsidP="00D134EC">
      <w:pPr>
        <w:spacing w:after="0" w:line="240" w:lineRule="auto"/>
        <w:jc w:val="both"/>
        <w:outlineLvl w:val="0"/>
        <w:rPr>
          <w:rFonts w:ascii="Times New Roman" w:hAnsi="Times New Roman"/>
          <w:sz w:val="20"/>
          <w:szCs w:val="20"/>
        </w:rPr>
      </w:pPr>
    </w:p>
    <w:p w:rsidR="00D134EC" w:rsidRPr="00E00E8D" w:rsidRDefault="00D134EC"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The measurement of diffused radon rate from the </w:t>
      </w:r>
      <w:r w:rsidRPr="00E00E8D">
        <w:rPr>
          <w:rFonts w:ascii="Times New Roman" w:hAnsi="Times New Roman"/>
          <w:iCs/>
          <w:sz w:val="20"/>
          <w:szCs w:val="20"/>
        </w:rPr>
        <w:t>sediment</w:t>
      </w:r>
      <w:r w:rsidRPr="00E00E8D" w:rsidDel="00A45492">
        <w:rPr>
          <w:rFonts w:ascii="Times New Roman" w:hAnsi="Times New Roman"/>
          <w:sz w:val="20"/>
          <w:szCs w:val="20"/>
        </w:rPr>
        <w:t xml:space="preserve"> </w:t>
      </w:r>
      <w:r w:rsidRPr="00E00E8D">
        <w:rPr>
          <w:rFonts w:ascii="Times New Roman" w:hAnsi="Times New Roman"/>
          <w:sz w:val="20"/>
          <w:szCs w:val="20"/>
        </w:rPr>
        <w:t>(Rn</w:t>
      </w:r>
      <w:r w:rsidRPr="00E00E8D">
        <w:rPr>
          <w:rFonts w:ascii="Times New Roman" w:hAnsi="Times New Roman"/>
          <w:i/>
          <w:sz w:val="20"/>
          <w:szCs w:val="20"/>
          <w:vertAlign w:val="subscript"/>
        </w:rPr>
        <w:t>sediment</w:t>
      </w:r>
      <w:r w:rsidRPr="00E00E8D">
        <w:rPr>
          <w:rFonts w:ascii="Times New Roman" w:hAnsi="Times New Roman"/>
          <w:sz w:val="20"/>
          <w:szCs w:val="20"/>
        </w:rPr>
        <w:t>) was carried at G1, G2 and G5 (represent upstream, middle and downstream of Ular River, respectively, see Figure 1). At each sampling site, three 50 mm-diameter PVC corers were hand-pushed into the riverbed and the corer was retrieve and transfer into glass Erlenmeyer flask. The flask was capped with rubber bunks after filling up with overlying river water. The sediment cores were then transported back to lab and incubated at room temperature for three weeks. The incubation allowed the radon in overlying water to achieve equilibrium with the diffusive inputs from the underlying sediments. The overlaying water was carefully transferred from each core into a gas washing bottle and analyzed by RAD7 at the end of the incubation period. Additional sediment core samples were collected by using 20mm-diameter HDPE tubes for both bulk density and sediment porosity test as described in previous study [28].</w:t>
      </w:r>
    </w:p>
    <w:p w:rsidR="00E00E8D" w:rsidRPr="00E00E8D" w:rsidRDefault="00E00E8D" w:rsidP="00DB504F">
      <w:pPr>
        <w:spacing w:after="120" w:line="240" w:lineRule="auto"/>
        <w:jc w:val="center"/>
        <w:outlineLvl w:val="0"/>
        <w:rPr>
          <w:rFonts w:ascii="Times New Roman" w:hAnsi="Times New Roman"/>
          <w:sz w:val="20"/>
          <w:szCs w:val="20"/>
        </w:rPr>
      </w:pPr>
      <w:r w:rsidRPr="00E00E8D">
        <w:rPr>
          <w:rFonts w:ascii="Times New Roman" w:hAnsi="Times New Roman"/>
          <w:noProof/>
          <w:sz w:val="20"/>
          <w:szCs w:val="20"/>
          <w:lang w:val="en-GB" w:eastAsia="ko-KR" w:bidi="ar-SA"/>
        </w:rPr>
        <w:lastRenderedPageBreak/>
        <w:drawing>
          <wp:inline distT="0" distB="0" distL="0" distR="0" wp14:anchorId="16365A70" wp14:editId="3E383E93">
            <wp:extent cx="4269105" cy="2438400"/>
            <wp:effectExtent l="0" t="0" r="0" b="0"/>
            <wp:docPr id="255" name="Picture 255" descr="H:\KAP\MASTER\Writing\SGD\New folder\CARTRI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AP\MASTER\Writing\SGD\New folder\CARTRIDG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77134" cy="2442986"/>
                    </a:xfrm>
                    <a:prstGeom prst="rect">
                      <a:avLst/>
                    </a:prstGeom>
                    <a:noFill/>
                    <a:ln>
                      <a:noFill/>
                    </a:ln>
                  </pic:spPr>
                </pic:pic>
              </a:graphicData>
            </a:graphic>
          </wp:inline>
        </w:drawing>
      </w:r>
    </w:p>
    <w:p w:rsidR="00E00E8D" w:rsidRPr="00E00E8D" w:rsidRDefault="00E00E8D" w:rsidP="00DB504F">
      <w:pPr>
        <w:spacing w:after="0" w:line="240" w:lineRule="auto"/>
        <w:ind w:left="810" w:hanging="810"/>
        <w:jc w:val="both"/>
        <w:outlineLvl w:val="0"/>
        <w:rPr>
          <w:rFonts w:ascii="Times New Roman" w:hAnsi="Times New Roman"/>
          <w:iCs/>
          <w:sz w:val="20"/>
          <w:szCs w:val="20"/>
        </w:rPr>
      </w:pPr>
      <w:bookmarkStart w:id="2" w:name="_Toc495243625"/>
      <w:r w:rsidRPr="00E00E8D">
        <w:rPr>
          <w:rFonts w:ascii="Times New Roman" w:hAnsi="Times New Roman"/>
          <w:iCs/>
          <w:sz w:val="20"/>
          <w:szCs w:val="20"/>
        </w:rPr>
        <w:t xml:space="preserve">Figure 3. </w:t>
      </w:r>
      <w:r w:rsidR="00DB504F">
        <w:rPr>
          <w:rFonts w:ascii="Times New Roman" w:hAnsi="Times New Roman"/>
          <w:iCs/>
          <w:sz w:val="20"/>
          <w:szCs w:val="20"/>
        </w:rPr>
        <w:tab/>
      </w:r>
      <w:r w:rsidRPr="00E00E8D">
        <w:rPr>
          <w:rFonts w:ascii="Times New Roman" w:hAnsi="Times New Roman"/>
          <w:iCs/>
          <w:sz w:val="20"/>
          <w:szCs w:val="20"/>
        </w:rPr>
        <w:t>Design of Manganese Oxide cartridges; The brass valves (A), the PVC plug (B), the union with O-ring (C), the clear PVC pipe (D), and the end cap (E)</w:t>
      </w:r>
      <w:bookmarkEnd w:id="2"/>
    </w:p>
    <w:p w:rsidR="00E00E8D" w:rsidRPr="00E00E8D" w:rsidRDefault="00E00E8D" w:rsidP="00D134EC">
      <w:pPr>
        <w:spacing w:after="12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Radon diffusive flux from the sediment (Rn</w:t>
      </w:r>
      <w:r w:rsidRPr="00E00E8D">
        <w:rPr>
          <w:rFonts w:ascii="Times New Roman" w:hAnsi="Times New Roman"/>
          <w:i/>
          <w:sz w:val="20"/>
          <w:szCs w:val="20"/>
          <w:vertAlign w:val="subscript"/>
        </w:rPr>
        <w:t>sediment</w:t>
      </w:r>
      <w:r w:rsidRPr="00E00E8D">
        <w:rPr>
          <w:rFonts w:ascii="Times New Roman" w:hAnsi="Times New Roman"/>
          <w:sz w:val="20"/>
          <w:szCs w:val="20"/>
        </w:rPr>
        <w:t>) was cal</w:t>
      </w:r>
      <w:r w:rsidR="00EC75CB">
        <w:rPr>
          <w:rFonts w:ascii="Times New Roman" w:hAnsi="Times New Roman"/>
          <w:sz w:val="20"/>
          <w:szCs w:val="20"/>
        </w:rPr>
        <w:t>culated based on [6, 28</w:t>
      </w:r>
      <w:r w:rsidRPr="00E00E8D">
        <w:rPr>
          <w:rFonts w:ascii="Times New Roman" w:hAnsi="Times New Roman"/>
          <w:sz w:val="20"/>
          <w:szCs w:val="20"/>
        </w:rPr>
        <w:t>]:</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3D78A0" w:rsidP="00E00E8D">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Rn</m:t>
            </m:r>
          </m:e>
          <m:sub>
            <m:r>
              <w:rPr>
                <w:rFonts w:ascii="Cambria Math" w:hAnsi="Cambria Math"/>
                <w:sz w:val="20"/>
                <w:szCs w:val="20"/>
              </w:rPr>
              <m:t>sediment</m:t>
            </m:r>
          </m:sub>
        </m:sSub>
        <m:r>
          <w:rPr>
            <w:rFonts w:ascii="Cambria Math" w:hAnsi="Cambria Math"/>
            <w:sz w:val="20"/>
            <w:szCs w:val="20"/>
          </w:rPr>
          <m:t>=(λ</m:t>
        </m:r>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s</m:t>
            </m:r>
          </m:sub>
        </m:sSub>
        <m:sSup>
          <m:sSupPr>
            <m:ctrlPr>
              <w:rPr>
                <w:rFonts w:ascii="Cambria Math" w:hAnsi="Cambria Math"/>
                <w:i/>
                <w:sz w:val="20"/>
                <w:szCs w:val="20"/>
              </w:rPr>
            </m:ctrlPr>
          </m:sSupPr>
          <m:e>
            <m:r>
              <w:rPr>
                <w:rFonts w:ascii="Cambria Math" w:hAnsi="Cambria Math"/>
                <w:sz w:val="20"/>
                <w:szCs w:val="20"/>
              </w:rPr>
              <m:t>)</m:t>
            </m:r>
          </m:e>
          <m:sup>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sup>
        </m:sSup>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eq</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oMath>
      <w:r w:rsidR="00E00E8D" w:rsidRPr="00E00E8D">
        <w:rPr>
          <w:rFonts w:ascii="Times New Roman" w:hAnsi="Times New Roman"/>
          <w:sz w:val="20"/>
          <w:szCs w:val="20"/>
        </w:rPr>
        <w:t xml:space="preserve"> </w:t>
      </w:r>
      <w:r w:rsidR="00E00E8D" w:rsidRPr="00E00E8D">
        <w:rPr>
          <w:rFonts w:ascii="Times New Roman" w:hAnsi="Times New Roman"/>
          <w:sz w:val="20"/>
          <w:szCs w:val="20"/>
        </w:rPr>
        <w:tab/>
      </w:r>
      <w:r w:rsidR="00E00E8D" w:rsidRPr="00E00E8D">
        <w:rPr>
          <w:rFonts w:ascii="Times New Roman" w:hAnsi="Times New Roman"/>
          <w:sz w:val="20"/>
          <w:szCs w:val="20"/>
        </w:rPr>
        <w:tab/>
        <w:t xml:space="preserve">                          </w:t>
      </w:r>
      <w:r w:rsidR="00E00E8D" w:rsidRPr="00E00E8D">
        <w:rPr>
          <w:rFonts w:ascii="Times New Roman" w:hAnsi="Times New Roman"/>
          <w:sz w:val="20"/>
          <w:szCs w:val="20"/>
        </w:rPr>
        <w:tab/>
      </w:r>
      <w:r w:rsidR="00E00E8D" w:rsidRPr="00E00E8D">
        <w:rPr>
          <w:rFonts w:ascii="Times New Roman" w:hAnsi="Times New Roman"/>
          <w:sz w:val="20"/>
          <w:szCs w:val="20"/>
        </w:rPr>
        <w:tab/>
        <w:t xml:space="preserve">  </w:t>
      </w:r>
      <w:r w:rsidR="00E00E8D" w:rsidRPr="00E00E8D">
        <w:rPr>
          <w:rFonts w:ascii="Times New Roman" w:hAnsi="Times New Roman"/>
          <w:sz w:val="20"/>
          <w:szCs w:val="20"/>
        </w:rPr>
        <w:tab/>
      </w:r>
      <w:r w:rsidR="00E00E8D" w:rsidRPr="00E00E8D">
        <w:rPr>
          <w:rFonts w:ascii="Times New Roman" w:hAnsi="Times New Roman"/>
          <w:sz w:val="20"/>
          <w:szCs w:val="20"/>
        </w:rPr>
        <w:tab/>
      </w:r>
      <w:r w:rsidR="00E00E8D" w:rsidRPr="00E00E8D">
        <w:rPr>
          <w:rFonts w:ascii="Times New Roman" w:hAnsi="Times New Roman"/>
          <w:sz w:val="20"/>
          <w:szCs w:val="20"/>
        </w:rPr>
        <w:tab/>
        <w:t xml:space="preserve">  </w:t>
      </w:r>
      <w:r w:rsidR="00DB504F">
        <w:rPr>
          <w:rFonts w:ascii="Times New Roman" w:hAnsi="Times New Roman"/>
          <w:sz w:val="20"/>
          <w:szCs w:val="20"/>
        </w:rPr>
        <w:t xml:space="preserve">      </w:t>
      </w:r>
      <w:r w:rsidR="00E00E8D" w:rsidRPr="00E00E8D">
        <w:rPr>
          <w:rFonts w:ascii="Times New Roman" w:hAnsi="Times New Roman"/>
          <w:sz w:val="20"/>
          <w:szCs w:val="20"/>
        </w:rPr>
        <w:t xml:space="preserve"> (2)</w:t>
      </w:r>
    </w:p>
    <w:p w:rsidR="00E00E8D" w:rsidRPr="00E00E8D" w:rsidRDefault="00E00E8D" w:rsidP="00E00E8D">
      <w:pPr>
        <w:spacing w:after="0" w:line="240" w:lineRule="auto"/>
        <w:jc w:val="both"/>
        <w:outlineLvl w:val="0"/>
        <w:rPr>
          <w:rFonts w:ascii="Times New Roman" w:hAnsi="Times New Roman"/>
          <w:sz w:val="20"/>
          <w:szCs w:val="20"/>
        </w:rPr>
      </w:pPr>
    </w:p>
    <w:p w:rsidR="00EC75CB" w:rsidRPr="00AC4125" w:rsidRDefault="003D78A0" w:rsidP="00E00E8D">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s</m:t>
            </m:r>
          </m:sub>
        </m:sSub>
        <m:r>
          <w:rPr>
            <w:rFonts w:ascii="Cambria Math" w:hAnsi="Cambria Math"/>
            <w:sz w:val="20"/>
            <w:szCs w:val="20"/>
          </w:rPr>
          <m:t>=</m:t>
        </m:r>
      </m:oMath>
      <w:r w:rsidR="00E00E8D" w:rsidRPr="00AC4125">
        <w:rPr>
          <w:rFonts w:ascii="Times New Roman" w:hAnsi="Times New Roman"/>
          <w:i/>
          <w:sz w:val="20"/>
          <w:szCs w:val="20"/>
        </w:rPr>
        <w:t xml:space="preserve"> </w:t>
      </w:r>
      <w:r w:rsidR="00EC75CB" w:rsidRPr="00AC4125">
        <w:rPr>
          <w:rFonts w:ascii="Times New Roman" w:hAnsi="Times New Roman"/>
          <w:i/>
          <w:sz w:val="20"/>
          <w:szCs w:val="20"/>
        </w:rPr>
        <w:t>D</w:t>
      </w:r>
      <w:r w:rsidR="00EC75CB" w:rsidRPr="00AC4125">
        <w:rPr>
          <w:rFonts w:ascii="Times New Roman" w:hAnsi="Times New Roman"/>
          <w:i/>
          <w:sz w:val="20"/>
          <w:szCs w:val="20"/>
          <w:vertAlign w:val="subscript"/>
        </w:rPr>
        <w:t xml:space="preserve">m </w:t>
      </w:r>
      <w:r w:rsidR="00EC75CB" w:rsidRPr="00AC4125">
        <w:rPr>
          <w:rFonts w:ascii="Times New Roman" w:hAnsi="Times New Roman"/>
          <w:i/>
          <w:sz w:val="20"/>
          <w:szCs w:val="20"/>
        </w:rPr>
        <w:t>/(1-ln(Ø</w:t>
      </w:r>
      <w:r w:rsidR="00EC75CB" w:rsidRPr="00AC4125">
        <w:rPr>
          <w:rFonts w:ascii="Times New Roman" w:hAnsi="Times New Roman"/>
          <w:i/>
          <w:sz w:val="20"/>
          <w:szCs w:val="20"/>
          <w:vertAlign w:val="superscript"/>
        </w:rPr>
        <w:t>2</w:t>
      </w:r>
      <w:r w:rsidR="00EC75CB" w:rsidRPr="00AC4125">
        <w:rPr>
          <w:rFonts w:ascii="Times New Roman" w:hAnsi="Times New Roman"/>
          <w:i/>
          <w:sz w:val="20"/>
          <w:szCs w:val="20"/>
        </w:rPr>
        <w:t>)</w:t>
      </w:r>
      <w:r w:rsidR="00EC75CB" w:rsidRPr="00AC4125">
        <w:rPr>
          <w:rFonts w:ascii="Times New Roman" w:hAnsi="Times New Roman"/>
          <w:sz w:val="20"/>
          <w:szCs w:val="20"/>
        </w:rPr>
        <w:t xml:space="preserve">                                                                                                                          </w:t>
      </w:r>
      <w:r w:rsidR="00AC4125">
        <w:rPr>
          <w:rFonts w:ascii="Times New Roman" w:hAnsi="Times New Roman"/>
          <w:sz w:val="20"/>
          <w:szCs w:val="20"/>
        </w:rPr>
        <w:t xml:space="preserve">               </w:t>
      </w:r>
      <w:r w:rsidR="00EC75CB" w:rsidRPr="00AC4125">
        <w:rPr>
          <w:rFonts w:ascii="Times New Roman" w:hAnsi="Times New Roman"/>
          <w:sz w:val="20"/>
          <w:szCs w:val="20"/>
        </w:rPr>
        <w:t>(3)</w:t>
      </w:r>
    </w:p>
    <w:p w:rsidR="00EC75CB" w:rsidRPr="00AC4125" w:rsidRDefault="00EC75CB" w:rsidP="00E00E8D">
      <w:pPr>
        <w:spacing w:after="0" w:line="240" w:lineRule="auto"/>
        <w:ind w:firstLine="720"/>
        <w:jc w:val="both"/>
        <w:outlineLvl w:val="0"/>
        <w:rPr>
          <w:rFonts w:ascii="Times New Roman" w:hAnsi="Times New Roman"/>
          <w:sz w:val="20"/>
          <w:szCs w:val="20"/>
        </w:rPr>
      </w:pPr>
    </w:p>
    <w:p w:rsidR="00E00E8D" w:rsidRDefault="00EC75CB" w:rsidP="00AC4125">
      <w:pPr>
        <w:spacing w:after="0" w:line="240" w:lineRule="auto"/>
        <w:ind w:firstLine="720"/>
        <w:jc w:val="both"/>
        <w:outlineLvl w:val="0"/>
        <w:rPr>
          <w:rFonts w:ascii="Times New Roman" w:hAnsi="Times New Roman"/>
          <w:sz w:val="20"/>
          <w:szCs w:val="20"/>
        </w:rPr>
      </w:pPr>
      <w:r>
        <w:rPr>
          <w:rFonts w:ascii="Times New Roman" w:hAnsi="Times New Roman"/>
          <w:i/>
          <w:sz w:val="20"/>
          <w:szCs w:val="20"/>
        </w:rPr>
        <w:t>-logD</w:t>
      </w:r>
      <w:r w:rsidRPr="00EC75CB">
        <w:rPr>
          <w:rFonts w:ascii="Times New Roman" w:hAnsi="Times New Roman"/>
          <w:i/>
          <w:sz w:val="20"/>
          <w:szCs w:val="20"/>
          <w:vertAlign w:val="subscript"/>
        </w:rPr>
        <w:t>m</w:t>
      </w:r>
      <w:r>
        <w:rPr>
          <w:rFonts w:ascii="Times New Roman" w:hAnsi="Times New Roman"/>
          <w:i/>
          <w:sz w:val="20"/>
          <w:szCs w:val="20"/>
        </w:rPr>
        <w:t xml:space="preserve"> =</w:t>
      </w:r>
      <w:r w:rsidR="00E00E8D" w:rsidRPr="00E00E8D">
        <w:rPr>
          <w:rFonts w:ascii="Times New Roman" w:hAnsi="Times New Roman"/>
          <w:i/>
          <w:sz w:val="20"/>
          <w:szCs w:val="20"/>
        </w:rPr>
        <w:t xml:space="preserve">(980/T) + 1.59] </w:t>
      </w:r>
      <w:r w:rsidR="00E00E8D" w:rsidRPr="00AC4125">
        <w:rPr>
          <w:rFonts w:ascii="Times New Roman" w:hAnsi="Times New Roman"/>
          <w:sz w:val="20"/>
          <w:szCs w:val="20"/>
        </w:rPr>
        <w:tab/>
        <w:t xml:space="preserve">                </w:t>
      </w:r>
      <w:r w:rsidR="00E00E8D" w:rsidRPr="00AC4125">
        <w:rPr>
          <w:rFonts w:ascii="Times New Roman" w:hAnsi="Times New Roman"/>
          <w:sz w:val="20"/>
          <w:szCs w:val="20"/>
        </w:rPr>
        <w:tab/>
      </w:r>
      <w:r w:rsidR="00E00E8D" w:rsidRPr="00AC4125">
        <w:rPr>
          <w:rFonts w:ascii="Times New Roman" w:hAnsi="Times New Roman"/>
          <w:sz w:val="20"/>
          <w:szCs w:val="20"/>
        </w:rPr>
        <w:tab/>
        <w:t xml:space="preserve">  </w:t>
      </w:r>
      <w:r w:rsidR="00E00E8D" w:rsidRPr="00AC4125">
        <w:rPr>
          <w:rFonts w:ascii="Times New Roman" w:hAnsi="Times New Roman"/>
          <w:sz w:val="20"/>
          <w:szCs w:val="20"/>
        </w:rPr>
        <w:tab/>
      </w:r>
      <w:r w:rsidR="00E00E8D" w:rsidRPr="00AC4125">
        <w:rPr>
          <w:rFonts w:ascii="Times New Roman" w:hAnsi="Times New Roman"/>
          <w:sz w:val="20"/>
          <w:szCs w:val="20"/>
        </w:rPr>
        <w:tab/>
      </w:r>
      <w:r w:rsidR="00E00E8D" w:rsidRPr="00AC4125">
        <w:rPr>
          <w:rFonts w:ascii="Times New Roman" w:hAnsi="Times New Roman"/>
          <w:sz w:val="20"/>
          <w:szCs w:val="20"/>
        </w:rPr>
        <w:tab/>
      </w:r>
      <w:r w:rsidR="00E00E8D" w:rsidRPr="00E00E8D">
        <w:rPr>
          <w:rFonts w:ascii="Times New Roman" w:hAnsi="Times New Roman"/>
          <w:i/>
          <w:sz w:val="20"/>
          <w:szCs w:val="20"/>
        </w:rPr>
        <w:t xml:space="preserve">  </w:t>
      </w:r>
      <w:r w:rsidR="00DB504F">
        <w:rPr>
          <w:rFonts w:ascii="Times New Roman" w:hAnsi="Times New Roman"/>
          <w:sz w:val="20"/>
          <w:szCs w:val="20"/>
        </w:rPr>
        <w:t xml:space="preserve">      </w:t>
      </w:r>
      <w:r w:rsidR="00E00E8D" w:rsidRPr="00E00E8D">
        <w:rPr>
          <w:rFonts w:ascii="Times New Roman" w:hAnsi="Times New Roman"/>
          <w:i/>
          <w:sz w:val="20"/>
          <w:szCs w:val="20"/>
        </w:rPr>
        <w:t xml:space="preserve"> </w:t>
      </w:r>
      <w:r>
        <w:rPr>
          <w:rFonts w:ascii="Times New Roman" w:hAnsi="Times New Roman"/>
          <w:i/>
          <w:sz w:val="20"/>
          <w:szCs w:val="20"/>
        </w:rPr>
        <w:t xml:space="preserve">                            </w:t>
      </w:r>
      <w:r>
        <w:rPr>
          <w:rFonts w:ascii="Times New Roman" w:hAnsi="Times New Roman"/>
          <w:sz w:val="20"/>
          <w:szCs w:val="20"/>
        </w:rPr>
        <w:t>(4</w:t>
      </w:r>
      <w:r w:rsidR="00E00E8D" w:rsidRPr="00E00E8D">
        <w:rPr>
          <w:rFonts w:ascii="Times New Roman" w:hAnsi="Times New Roman"/>
          <w:sz w:val="20"/>
          <w:szCs w:val="20"/>
        </w:rPr>
        <w:t>)</w:t>
      </w:r>
    </w:p>
    <w:p w:rsidR="00AC4125" w:rsidRPr="00E00E8D" w:rsidRDefault="00AC4125" w:rsidP="00AC4125">
      <w:pPr>
        <w:spacing w:after="0" w:line="240" w:lineRule="auto"/>
        <w:ind w:firstLine="720"/>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where </w:t>
      </w:r>
      <m:oMath>
        <m:sSub>
          <m:sSubPr>
            <m:ctrlPr>
              <w:rPr>
                <w:rFonts w:ascii="Cambria Math" w:hAnsi="Cambria Math"/>
                <w:i/>
                <w:sz w:val="20"/>
                <w:szCs w:val="20"/>
              </w:rPr>
            </m:ctrlPr>
          </m:sSubPr>
          <m:e>
            <m:r>
              <w:rPr>
                <w:rFonts w:ascii="Cambria Math" w:hAnsi="Cambria Math"/>
                <w:sz w:val="20"/>
                <w:szCs w:val="20"/>
              </w:rPr>
              <m:t>Rn</m:t>
            </m:r>
          </m:e>
          <m:sub>
            <m:r>
              <w:rPr>
                <w:rFonts w:ascii="Cambria Math" w:hAnsi="Cambria Math"/>
                <w:sz w:val="20"/>
                <w:szCs w:val="20"/>
              </w:rPr>
              <m:t xml:space="preserve">sediment </m:t>
            </m:r>
          </m:sub>
        </m:sSub>
        <m:r>
          <w:rPr>
            <w:rFonts w:ascii="Cambria Math" w:hAnsi="Cambria Math"/>
            <w:sz w:val="20"/>
            <w:szCs w:val="20"/>
          </w:rPr>
          <m:t xml:space="preserve"> </m:t>
        </m:r>
      </m:oMath>
      <w:r w:rsidRPr="00E00E8D">
        <w:rPr>
          <w:rFonts w:ascii="Times New Roman" w:hAnsi="Times New Roman"/>
          <w:sz w:val="20"/>
          <w:szCs w:val="20"/>
        </w:rPr>
        <w:t>is the radon contributed by sediment diffusion, expressed as</w:t>
      </w:r>
      <m:oMath>
        <m:r>
          <w:rPr>
            <w:rFonts w:ascii="Cambria Math" w:hAnsi="Cambria Math"/>
            <w:sz w:val="20"/>
            <w:szCs w:val="20"/>
          </w:rPr>
          <m:t xml:space="preserve"> Bq</m:t>
        </m:r>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2</m:t>
            </m:r>
          </m:sup>
        </m:sSup>
        <m:r>
          <w:rPr>
            <w:rFonts w:ascii="Cambria Math" w:hAnsi="Cambria Math"/>
            <w:sz w:val="20"/>
            <w:szCs w:val="20"/>
          </w:rPr>
          <m:t>day</m:t>
        </m:r>
      </m:oMath>
      <w:r w:rsidRPr="00E00E8D">
        <w:rPr>
          <w:rFonts w:ascii="Times New Roman" w:hAnsi="Times New Roman"/>
          <w:sz w:val="20"/>
          <w:szCs w:val="20"/>
        </w:rPr>
        <w:t>; λ represents the radon decay constant (0.181 day</w:t>
      </w:r>
      <w:r w:rsidRPr="00E00E8D">
        <w:rPr>
          <w:rFonts w:ascii="Times New Roman" w:hAnsi="Times New Roman"/>
          <w:sz w:val="20"/>
          <w:szCs w:val="20"/>
          <w:vertAlign w:val="superscript"/>
        </w:rPr>
        <w:t>-1</w:t>
      </w:r>
      <w:r w:rsidRPr="00E00E8D">
        <w:rPr>
          <w:rFonts w:ascii="Times New Roman" w:hAnsi="Times New Roman"/>
          <w:sz w:val="20"/>
          <w:szCs w:val="20"/>
        </w:rPr>
        <w:t xml:space="preserve">);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eq</m:t>
            </m:r>
          </m:sub>
        </m:sSub>
      </m:oMath>
      <w:r w:rsidRPr="00E00E8D">
        <w:rPr>
          <w:rFonts w:ascii="Times New Roman" w:hAnsi="Times New Roman"/>
          <w:sz w:val="20"/>
          <w:szCs w:val="20"/>
        </w:rPr>
        <w:t xml:space="preserve"> is the radon released by radium in the sediments during sediment incubation experiments describe above,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oMath>
      <w:r w:rsidRPr="00E00E8D">
        <w:rPr>
          <w:rFonts w:ascii="Times New Roman" w:hAnsi="Times New Roman"/>
          <w:sz w:val="20"/>
          <w:szCs w:val="20"/>
        </w:rPr>
        <w:t xml:space="preserve"> is the radon concentration detected in the overlying water before incubation experiment, </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s</m:t>
            </m:r>
          </m:sub>
        </m:sSub>
      </m:oMath>
      <w:r w:rsidRPr="00E00E8D">
        <w:rPr>
          <w:rFonts w:ascii="Times New Roman" w:hAnsi="Times New Roman"/>
          <w:sz w:val="20"/>
          <w:szCs w:val="20"/>
        </w:rPr>
        <w:t xml:space="preserve"> represents the effective wet bulk sediment diffusion coefficient (m</w:t>
      </w:r>
      <w:r w:rsidRPr="00E00E8D">
        <w:rPr>
          <w:rFonts w:ascii="Times New Roman" w:hAnsi="Times New Roman"/>
          <w:sz w:val="20"/>
          <w:szCs w:val="20"/>
          <w:vertAlign w:val="superscript"/>
        </w:rPr>
        <w:t>2</w:t>
      </w:r>
      <w:r w:rsidRPr="00E00E8D">
        <w:rPr>
          <w:rFonts w:ascii="Times New Roman" w:hAnsi="Times New Roman"/>
          <w:sz w:val="20"/>
          <w:szCs w:val="20"/>
        </w:rPr>
        <w:t>day</w:t>
      </w:r>
      <w:r w:rsidRPr="00E00E8D">
        <w:rPr>
          <w:rFonts w:ascii="Times New Roman" w:hAnsi="Times New Roman"/>
          <w:sz w:val="20"/>
          <w:szCs w:val="20"/>
          <w:vertAlign w:val="superscript"/>
        </w:rPr>
        <w:t>-1</w:t>
      </w:r>
      <w:r w:rsidRPr="00E00E8D">
        <w:rPr>
          <w:rFonts w:ascii="Times New Roman" w:hAnsi="Times New Roman"/>
          <w:sz w:val="20"/>
          <w:szCs w:val="20"/>
        </w:rPr>
        <w:t xml:space="preserve">), </w:t>
      </w:r>
      <w:r w:rsidRPr="00E00E8D">
        <w:rPr>
          <w:rFonts w:ascii="Times New Roman" w:hAnsi="Times New Roman"/>
          <w:i/>
          <w:sz w:val="20"/>
          <w:szCs w:val="20"/>
        </w:rPr>
        <w:t>T</w:t>
      </w:r>
      <w:r w:rsidRPr="00E00E8D">
        <w:rPr>
          <w:rFonts w:ascii="Times New Roman" w:hAnsi="Times New Roman"/>
          <w:sz w:val="20"/>
          <w:szCs w:val="20"/>
        </w:rPr>
        <w:t xml:space="preserve"> is the water temperature and </w:t>
      </w:r>
      <w:r w:rsidRPr="00E00E8D">
        <w:rPr>
          <w:rFonts w:ascii="Times New Roman" w:hAnsi="Times New Roman"/>
          <w:i/>
          <w:sz w:val="20"/>
          <w:szCs w:val="20"/>
        </w:rPr>
        <w:t>ø</w:t>
      </w:r>
      <w:r w:rsidRPr="00E00E8D" w:rsidDel="00FF5E07">
        <w:rPr>
          <w:rFonts w:ascii="Times New Roman" w:hAnsi="Times New Roman"/>
          <w:sz w:val="20"/>
          <w:szCs w:val="20"/>
        </w:rPr>
        <w:t xml:space="preserve"> </w:t>
      </w:r>
      <w:r w:rsidRPr="00E00E8D">
        <w:rPr>
          <w:rFonts w:ascii="Times New Roman" w:hAnsi="Times New Roman"/>
          <w:sz w:val="20"/>
          <w:szCs w:val="20"/>
        </w:rPr>
        <w:t>is the sediment porosity</w:t>
      </w:r>
      <w:r w:rsidRPr="00E00E8D">
        <w:rPr>
          <w:rFonts w:ascii="Times New Roman" w:hAnsi="Times New Roman"/>
          <w:i/>
          <w:sz w:val="20"/>
          <w:szCs w:val="20"/>
        </w:rPr>
        <w:t>.</w:t>
      </w:r>
      <w:r w:rsidRPr="00E00E8D">
        <w:rPr>
          <w:rFonts w:ascii="Times New Roman" w:hAnsi="Times New Roman"/>
          <w:sz w:val="20"/>
          <w:szCs w:val="20"/>
        </w:rPr>
        <w:t xml:space="preserve"> </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Porosity of the sediment ca</w:t>
      </w:r>
      <w:r w:rsidR="00EC75CB">
        <w:rPr>
          <w:rFonts w:ascii="Times New Roman" w:hAnsi="Times New Roman"/>
          <w:sz w:val="20"/>
          <w:szCs w:val="20"/>
        </w:rPr>
        <w:t>n be calculated using equation 5</w:t>
      </w:r>
      <w:r w:rsidRPr="00E00E8D">
        <w:rPr>
          <w:rFonts w:ascii="Times New Roman" w:hAnsi="Times New Roman"/>
          <w:sz w:val="20"/>
          <w:szCs w:val="20"/>
        </w:rPr>
        <w:t xml:space="preserve"> below:</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ind w:firstLine="720"/>
        <w:jc w:val="both"/>
        <w:outlineLvl w:val="0"/>
        <w:rPr>
          <w:rFonts w:ascii="Times New Roman" w:hAnsi="Times New Roman"/>
          <w:sz w:val="20"/>
          <w:szCs w:val="20"/>
        </w:rPr>
      </w:pPr>
      <w:r w:rsidRPr="00E00E8D">
        <w:rPr>
          <w:rFonts w:ascii="Times New Roman" w:hAnsi="Times New Roman"/>
          <w:i/>
          <w:sz w:val="20"/>
          <w:szCs w:val="20"/>
        </w:rPr>
        <w:t>Ø</w:t>
      </w:r>
      <m:oMath>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D</m:t>
                    </m:r>
                  </m:sub>
                </m:sSub>
              </m:num>
              <m:den>
                <m:sSub>
                  <m:sSubPr>
                    <m:ctrlPr>
                      <w:rPr>
                        <w:rFonts w:ascii="Cambria Math" w:hAnsi="Cambria Math"/>
                        <w:i/>
                        <w:sz w:val="20"/>
                        <w:szCs w:val="20"/>
                      </w:rPr>
                    </m:ctrlPr>
                  </m:sSubPr>
                  <m:e>
                    <m:r>
                      <w:rPr>
                        <w:rFonts w:ascii="Cambria Math" w:hAnsi="Cambria Math"/>
                        <w:sz w:val="20"/>
                        <w:szCs w:val="20"/>
                      </w:rPr>
                      <m:t>ρ</m:t>
                    </m:r>
                  </m:e>
                  <m:sub>
                    <m:r>
                      <w:rPr>
                        <w:rFonts w:ascii="Cambria Math" w:hAnsi="Cambria Math"/>
                        <w:sz w:val="20"/>
                        <w:szCs w:val="20"/>
                      </w:rPr>
                      <m:t>w</m:t>
                    </m:r>
                  </m:sub>
                </m:sSub>
              </m:den>
            </m:f>
            <m:r>
              <w:rPr>
                <w:rFonts w:ascii="Cambria Math" w:hAnsi="Cambria Math"/>
                <w:sz w:val="20"/>
                <w:szCs w:val="20"/>
              </w:rPr>
              <m:t>)</m:t>
            </m:r>
          </m:num>
          <m:den>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D</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ρ</m:t>
                </m:r>
              </m:e>
              <m:sub>
                <m:r>
                  <w:rPr>
                    <w:rFonts w:ascii="Cambria Math" w:hAnsi="Cambria Math"/>
                    <w:sz w:val="20"/>
                    <w:szCs w:val="20"/>
                  </w:rPr>
                  <m:t>w</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+(1-W</m:t>
                </m:r>
              </m:e>
              <m:sub>
                <m:r>
                  <w:rPr>
                    <w:rFonts w:ascii="Cambria Math" w:hAnsi="Cambria Math"/>
                    <w:sz w:val="20"/>
                    <w:szCs w:val="20"/>
                  </w:rPr>
                  <m:t>D</m:t>
                </m:r>
              </m:sub>
            </m:sSub>
            <m:sSub>
              <m:sSubPr>
                <m:ctrlPr>
                  <w:rPr>
                    <w:rFonts w:ascii="Cambria Math" w:hAnsi="Cambria Math"/>
                    <w:i/>
                    <w:sz w:val="20"/>
                    <w:szCs w:val="20"/>
                  </w:rPr>
                </m:ctrlPr>
              </m:sSubPr>
              <m:e>
                <m:r>
                  <w:rPr>
                    <w:rFonts w:ascii="Cambria Math" w:hAnsi="Cambria Math"/>
                    <w:sz w:val="20"/>
                    <w:szCs w:val="20"/>
                  </w:rPr>
                  <m:t>/ρ</m:t>
                </m:r>
              </m:e>
              <m:sub>
                <m:r>
                  <w:rPr>
                    <w:rFonts w:ascii="Cambria Math" w:hAnsi="Cambria Math"/>
                    <w:sz w:val="20"/>
                    <w:szCs w:val="20"/>
                  </w:rPr>
                  <m:t>dry</m:t>
                </m:r>
              </m:sub>
            </m:sSub>
            <m:r>
              <w:rPr>
                <w:rFonts w:ascii="Cambria Math" w:hAnsi="Cambria Math"/>
                <w:sz w:val="20"/>
                <w:szCs w:val="20"/>
              </w:rPr>
              <m:t>)</m:t>
            </m:r>
          </m:den>
        </m:f>
        <m:r>
          <w:rPr>
            <w:rFonts w:ascii="Cambria Math" w:hAnsi="Cambria Math"/>
            <w:sz w:val="20"/>
            <w:szCs w:val="20"/>
          </w:rPr>
          <m:t xml:space="preserve">             </m:t>
        </m:r>
      </m:oMath>
      <w:r w:rsidRPr="00E00E8D">
        <w:rPr>
          <w:rFonts w:ascii="Times New Roman" w:hAnsi="Times New Roman"/>
          <w:sz w:val="20"/>
          <w:szCs w:val="20"/>
        </w:rPr>
        <w:t xml:space="preserve"> </w:t>
      </w:r>
      <w:r w:rsidRPr="00E00E8D">
        <w:rPr>
          <w:rFonts w:ascii="Times New Roman" w:hAnsi="Times New Roman"/>
          <w:sz w:val="20"/>
          <w:szCs w:val="20"/>
        </w:rPr>
        <w:tab/>
        <w:t xml:space="preserve">                                        </w:t>
      </w:r>
      <w:r w:rsidRPr="00E00E8D">
        <w:rPr>
          <w:rFonts w:ascii="Times New Roman" w:hAnsi="Times New Roman"/>
          <w:sz w:val="20"/>
          <w:szCs w:val="20"/>
        </w:rPr>
        <w:tab/>
      </w:r>
      <w:r w:rsidRPr="00E00E8D">
        <w:rPr>
          <w:rFonts w:ascii="Times New Roman" w:hAnsi="Times New Roman"/>
          <w:sz w:val="20"/>
          <w:szCs w:val="20"/>
        </w:rPr>
        <w:tab/>
        <w:t xml:space="preserve">  </w:t>
      </w:r>
      <w:r w:rsidRPr="00E00E8D">
        <w:rPr>
          <w:rFonts w:ascii="Times New Roman" w:hAnsi="Times New Roman"/>
          <w:sz w:val="20"/>
          <w:szCs w:val="20"/>
        </w:rPr>
        <w:tab/>
      </w:r>
      <w:r w:rsidRPr="00E00E8D">
        <w:rPr>
          <w:rFonts w:ascii="Times New Roman" w:hAnsi="Times New Roman"/>
          <w:sz w:val="20"/>
          <w:szCs w:val="20"/>
        </w:rPr>
        <w:tab/>
      </w:r>
      <w:r w:rsidRPr="00E00E8D">
        <w:rPr>
          <w:rFonts w:ascii="Times New Roman" w:hAnsi="Times New Roman"/>
          <w:sz w:val="20"/>
          <w:szCs w:val="20"/>
        </w:rPr>
        <w:tab/>
        <w:t xml:space="preserve">  </w:t>
      </w:r>
      <w:r w:rsidR="00DB504F">
        <w:rPr>
          <w:rFonts w:ascii="Times New Roman" w:hAnsi="Times New Roman"/>
          <w:sz w:val="20"/>
          <w:szCs w:val="20"/>
        </w:rPr>
        <w:t xml:space="preserve">      </w:t>
      </w:r>
      <w:r w:rsidR="00EC75CB">
        <w:rPr>
          <w:rFonts w:ascii="Times New Roman" w:hAnsi="Times New Roman"/>
          <w:sz w:val="20"/>
          <w:szCs w:val="20"/>
        </w:rPr>
        <w:t xml:space="preserve"> (5</w:t>
      </w:r>
      <w:r w:rsidRPr="00E00E8D">
        <w:rPr>
          <w:rFonts w:ascii="Times New Roman" w:hAnsi="Times New Roman"/>
          <w:sz w:val="20"/>
          <w:szCs w:val="20"/>
        </w:rPr>
        <w:t>)</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where </w:t>
      </w:r>
      <m:oMath>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D</m:t>
            </m:r>
          </m:sub>
        </m:sSub>
        <m:r>
          <w:rPr>
            <w:rFonts w:ascii="Cambria Math" w:hAnsi="Cambria Math"/>
            <w:sz w:val="20"/>
            <w:szCs w:val="20"/>
          </w:rPr>
          <m:t xml:space="preserve"> </m:t>
        </m:r>
      </m:oMath>
      <w:r w:rsidRPr="00E00E8D">
        <w:rPr>
          <w:rFonts w:ascii="Times New Roman" w:hAnsi="Times New Roman"/>
          <w:sz w:val="20"/>
          <w:szCs w:val="20"/>
        </w:rPr>
        <w:t xml:space="preserve">represents the water fraction presents in the sediments; </w:t>
      </w:r>
      <m:oMath>
        <m:sSub>
          <m:sSubPr>
            <m:ctrlPr>
              <w:rPr>
                <w:rFonts w:ascii="Cambria Math" w:hAnsi="Cambria Math"/>
                <w:i/>
                <w:sz w:val="20"/>
                <w:szCs w:val="20"/>
              </w:rPr>
            </m:ctrlPr>
          </m:sSubPr>
          <m:e>
            <m:r>
              <w:rPr>
                <w:rFonts w:ascii="Cambria Math" w:hAnsi="Cambria Math"/>
                <w:sz w:val="20"/>
                <w:szCs w:val="20"/>
              </w:rPr>
              <m:t>ρ</m:t>
            </m:r>
          </m:e>
          <m:sub>
            <m:r>
              <w:rPr>
                <w:rFonts w:ascii="Cambria Math" w:hAnsi="Cambria Math"/>
                <w:sz w:val="20"/>
                <w:szCs w:val="20"/>
              </w:rPr>
              <m:t>w</m:t>
            </m:r>
          </m:sub>
        </m:sSub>
      </m:oMath>
      <w:r w:rsidRPr="00E00E8D">
        <w:rPr>
          <w:rFonts w:ascii="Times New Roman" w:hAnsi="Times New Roman"/>
          <w:sz w:val="20"/>
          <w:szCs w:val="20"/>
        </w:rPr>
        <w:t xml:space="preserve">  (g/cm</w:t>
      </w:r>
      <w:r w:rsidRPr="00E00E8D">
        <w:rPr>
          <w:rFonts w:ascii="Times New Roman" w:hAnsi="Times New Roman"/>
          <w:sz w:val="20"/>
          <w:szCs w:val="20"/>
          <w:vertAlign w:val="superscript"/>
        </w:rPr>
        <w:t>3</w:t>
      </w:r>
      <w:r w:rsidRPr="00E00E8D">
        <w:rPr>
          <w:rFonts w:ascii="Times New Roman" w:hAnsi="Times New Roman"/>
          <w:sz w:val="20"/>
          <w:szCs w:val="20"/>
        </w:rPr>
        <w:t xml:space="preserve">) represents the water density of the surface water and  </w:t>
      </w:r>
      <m:oMath>
        <m:sSub>
          <m:sSubPr>
            <m:ctrlPr>
              <w:rPr>
                <w:rFonts w:ascii="Cambria Math" w:hAnsi="Cambria Math"/>
                <w:i/>
                <w:sz w:val="20"/>
                <w:szCs w:val="20"/>
              </w:rPr>
            </m:ctrlPr>
          </m:sSubPr>
          <m:e>
            <m:r>
              <w:rPr>
                <w:rFonts w:ascii="Cambria Math" w:hAnsi="Cambria Math"/>
                <w:sz w:val="20"/>
                <w:szCs w:val="20"/>
              </w:rPr>
              <m:t>ρ</m:t>
            </m:r>
          </m:e>
          <m:sub>
            <m:r>
              <w:rPr>
                <w:rFonts w:ascii="Cambria Math" w:hAnsi="Cambria Math"/>
                <w:sz w:val="20"/>
                <w:szCs w:val="20"/>
              </w:rPr>
              <m:t>dry</m:t>
            </m:r>
          </m:sub>
        </m:sSub>
      </m:oMath>
      <w:r w:rsidRPr="00E00E8D">
        <w:rPr>
          <w:rFonts w:ascii="Times New Roman" w:hAnsi="Times New Roman"/>
          <w:sz w:val="20"/>
          <w:szCs w:val="20"/>
        </w:rPr>
        <w:t xml:space="preserve"> (g/cm</w:t>
      </w:r>
      <w:r w:rsidRPr="00E00E8D">
        <w:rPr>
          <w:rFonts w:ascii="Times New Roman" w:hAnsi="Times New Roman"/>
          <w:sz w:val="20"/>
          <w:szCs w:val="20"/>
          <w:vertAlign w:val="superscript"/>
        </w:rPr>
        <w:t>3</w:t>
      </w:r>
      <w:r w:rsidRPr="00E00E8D">
        <w:rPr>
          <w:rFonts w:ascii="Times New Roman" w:hAnsi="Times New Roman"/>
          <w:sz w:val="20"/>
          <w:szCs w:val="20"/>
        </w:rPr>
        <w:t>) represents the dry grain density measured by dividing oven-dry soil weight with the volume of soil solids.</w:t>
      </w:r>
    </w:p>
    <w:p w:rsidR="00E00E8D" w:rsidRPr="00E00E8D" w:rsidRDefault="00E00E8D" w:rsidP="00E00E8D">
      <w:pPr>
        <w:spacing w:after="0" w:line="240" w:lineRule="auto"/>
        <w:jc w:val="both"/>
        <w:outlineLvl w:val="0"/>
        <w:rPr>
          <w:rFonts w:ascii="Times New Roman" w:hAnsi="Times New Roman"/>
          <w:i/>
          <w:sz w:val="20"/>
          <w:szCs w:val="20"/>
        </w:rPr>
      </w:pPr>
    </w:p>
    <w:p w:rsidR="00E00E8D" w:rsidRPr="00E00E8D" w:rsidRDefault="00E00E8D" w:rsidP="00E00E8D">
      <w:pPr>
        <w:spacing w:after="0" w:line="240" w:lineRule="auto"/>
        <w:jc w:val="both"/>
        <w:outlineLvl w:val="0"/>
        <w:rPr>
          <w:rFonts w:ascii="Times New Roman" w:hAnsi="Times New Roman"/>
          <w:b/>
          <w:sz w:val="20"/>
          <w:szCs w:val="20"/>
        </w:rPr>
      </w:pPr>
      <w:r w:rsidRPr="00E00E8D">
        <w:rPr>
          <w:rFonts w:ascii="Times New Roman" w:hAnsi="Times New Roman"/>
          <w:b/>
          <w:sz w:val="20"/>
          <w:szCs w:val="20"/>
        </w:rPr>
        <w:t>Atmospheric evasion</w:t>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A seven-hour continuous measurement of radon-in-air by two units of RAD7s next to downstream (G1) and upstream (G5) sites was conducted to estimate the radon loss from the river through atmospheric evasion. The radon loss due to atmospheric evasion was calculated b</w:t>
      </w:r>
      <w:r w:rsidR="006B0D93">
        <w:rPr>
          <w:rFonts w:ascii="Times New Roman" w:hAnsi="Times New Roman"/>
          <w:sz w:val="20"/>
          <w:szCs w:val="20"/>
        </w:rPr>
        <w:t>y using the following equation 6</w:t>
      </w:r>
      <w:r w:rsidRPr="00E00E8D">
        <w:rPr>
          <w:rFonts w:ascii="Times New Roman" w:hAnsi="Times New Roman"/>
          <w:sz w:val="20"/>
          <w:szCs w:val="20"/>
        </w:rPr>
        <w:t>:</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3D78A0" w:rsidP="00E00E8D">
      <w:pPr>
        <w:spacing w:after="0" w:line="240" w:lineRule="auto"/>
        <w:ind w:firstLine="720"/>
        <w:jc w:val="both"/>
        <w:outlineLvl w:val="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Rn</m:t>
            </m:r>
          </m:e>
          <m:sub>
            <m:r>
              <w:rPr>
                <w:rFonts w:ascii="Cambria Math" w:hAnsi="Cambria Math"/>
                <w:sz w:val="20"/>
                <w:szCs w:val="20"/>
              </w:rPr>
              <m:t>atmophere</m:t>
            </m:r>
          </m:sub>
        </m:sSub>
        <m:sSub>
          <m:sSubPr>
            <m:ctrlPr>
              <w:rPr>
                <w:rFonts w:ascii="Cambria Math" w:hAnsi="Cambria Math"/>
                <w:i/>
                <w:sz w:val="20"/>
                <w:szCs w:val="20"/>
              </w:rPr>
            </m:ctrlPr>
          </m:sSubPr>
          <m:e>
            <m:r>
              <w:rPr>
                <w:rFonts w:ascii="Cambria Math" w:hAnsi="Cambria Math"/>
                <w:sz w:val="20"/>
                <w:szCs w:val="20"/>
              </w:rPr>
              <m:t>=k(</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w</m:t>
                </m:r>
              </m:sub>
            </m:sSub>
            <m:r>
              <w:rPr>
                <w:rFonts w:ascii="Cambria Math" w:hAnsi="Cambria Math"/>
                <w:sz w:val="20"/>
                <w:szCs w:val="20"/>
              </w:rPr>
              <m:t xml:space="preserve"> - ∝C</m:t>
            </m:r>
          </m:e>
          <m:sub>
            <m:r>
              <w:rPr>
                <w:rFonts w:ascii="Cambria Math" w:hAnsi="Cambria Math"/>
                <w:sz w:val="20"/>
                <w:szCs w:val="20"/>
              </w:rPr>
              <m:t>atm</m:t>
            </m:r>
          </m:sub>
        </m:sSub>
        <m:r>
          <w:rPr>
            <w:rFonts w:ascii="Cambria Math" w:hAnsi="Cambria Math"/>
            <w:sz w:val="20"/>
            <w:szCs w:val="20"/>
          </w:rPr>
          <m:t>)</m:t>
        </m:r>
      </m:oMath>
      <w:r w:rsidR="00E00E8D" w:rsidRPr="00E00E8D">
        <w:rPr>
          <w:rFonts w:ascii="Times New Roman" w:hAnsi="Times New Roman"/>
          <w:sz w:val="20"/>
          <w:szCs w:val="20"/>
        </w:rPr>
        <w:t xml:space="preserve"> </w:t>
      </w:r>
      <w:r w:rsidR="00E00E8D" w:rsidRPr="00E00E8D">
        <w:rPr>
          <w:rFonts w:ascii="Times New Roman" w:hAnsi="Times New Roman"/>
          <w:sz w:val="20"/>
          <w:szCs w:val="20"/>
        </w:rPr>
        <w:tab/>
      </w:r>
      <w:r w:rsidR="00E00E8D" w:rsidRPr="00E00E8D">
        <w:rPr>
          <w:rFonts w:ascii="Times New Roman" w:hAnsi="Times New Roman"/>
          <w:sz w:val="20"/>
          <w:szCs w:val="20"/>
        </w:rPr>
        <w:tab/>
      </w:r>
      <w:r w:rsidR="00E00E8D" w:rsidRPr="00E00E8D">
        <w:rPr>
          <w:rFonts w:ascii="Times New Roman" w:hAnsi="Times New Roman"/>
          <w:sz w:val="20"/>
          <w:szCs w:val="20"/>
        </w:rPr>
        <w:tab/>
      </w:r>
      <w:r w:rsidR="00E00E8D" w:rsidRPr="00E00E8D">
        <w:rPr>
          <w:rFonts w:ascii="Times New Roman" w:hAnsi="Times New Roman"/>
          <w:sz w:val="20"/>
          <w:szCs w:val="20"/>
        </w:rPr>
        <w:tab/>
      </w:r>
      <w:r w:rsidR="00E00E8D" w:rsidRPr="00E00E8D">
        <w:rPr>
          <w:rFonts w:ascii="Times New Roman" w:hAnsi="Times New Roman"/>
          <w:sz w:val="20"/>
          <w:szCs w:val="20"/>
        </w:rPr>
        <w:tab/>
        <w:t xml:space="preserve">   </w:t>
      </w:r>
      <w:r w:rsidR="00E00E8D" w:rsidRPr="00E00E8D">
        <w:rPr>
          <w:rFonts w:ascii="Times New Roman" w:hAnsi="Times New Roman"/>
          <w:sz w:val="20"/>
          <w:szCs w:val="20"/>
        </w:rPr>
        <w:tab/>
      </w:r>
      <w:r w:rsidR="00E00E8D" w:rsidRPr="00E00E8D">
        <w:rPr>
          <w:rFonts w:ascii="Times New Roman" w:hAnsi="Times New Roman"/>
          <w:sz w:val="20"/>
          <w:szCs w:val="20"/>
        </w:rPr>
        <w:tab/>
      </w:r>
      <w:r w:rsidR="00E00E8D" w:rsidRPr="00E00E8D">
        <w:rPr>
          <w:rFonts w:ascii="Times New Roman" w:hAnsi="Times New Roman"/>
          <w:sz w:val="20"/>
          <w:szCs w:val="20"/>
        </w:rPr>
        <w:tab/>
        <w:t xml:space="preserve">   </w:t>
      </w:r>
      <w:r w:rsidR="00DB504F">
        <w:rPr>
          <w:rFonts w:ascii="Times New Roman" w:hAnsi="Times New Roman"/>
          <w:sz w:val="20"/>
          <w:szCs w:val="20"/>
        </w:rPr>
        <w:t xml:space="preserve">      </w:t>
      </w:r>
      <w:r w:rsidR="006B0D93">
        <w:rPr>
          <w:rFonts w:ascii="Times New Roman" w:hAnsi="Times New Roman"/>
          <w:sz w:val="20"/>
          <w:szCs w:val="20"/>
        </w:rPr>
        <w:t>(6</w:t>
      </w:r>
      <w:r w:rsidR="00E00E8D" w:rsidRPr="00E00E8D">
        <w:rPr>
          <w:rFonts w:ascii="Times New Roman" w:hAnsi="Times New Roman"/>
          <w:sz w:val="20"/>
          <w:szCs w:val="20"/>
        </w:rPr>
        <w:t>)</w:t>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ab/>
      </w: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lastRenderedPageBreak/>
        <w:t xml:space="preserve">where </w:t>
      </w:r>
      <m:oMath>
        <m:sSub>
          <m:sSubPr>
            <m:ctrlPr>
              <w:rPr>
                <w:rFonts w:ascii="Cambria Math" w:hAnsi="Cambria Math"/>
                <w:i/>
                <w:sz w:val="20"/>
                <w:szCs w:val="20"/>
              </w:rPr>
            </m:ctrlPr>
          </m:sSubPr>
          <m:e>
            <m:r>
              <w:rPr>
                <w:rFonts w:ascii="Cambria Math" w:hAnsi="Cambria Math"/>
                <w:sz w:val="20"/>
                <w:szCs w:val="20"/>
              </w:rPr>
              <m:t>Rn</m:t>
            </m:r>
          </m:e>
          <m:sub>
            <m:r>
              <w:rPr>
                <w:rFonts w:ascii="Cambria Math" w:hAnsi="Cambria Math"/>
                <w:sz w:val="20"/>
                <w:szCs w:val="20"/>
              </w:rPr>
              <m:t>atmosphere</m:t>
            </m:r>
          </m:sub>
        </m:sSub>
      </m:oMath>
      <w:r w:rsidRPr="00E00E8D">
        <w:rPr>
          <w:rFonts w:ascii="Times New Roman" w:hAnsi="Times New Roman"/>
          <w:sz w:val="20"/>
          <w:szCs w:val="20"/>
        </w:rPr>
        <w:t xml:space="preserve"> represents radon atmospheric evasion flux;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w</m:t>
            </m:r>
          </m:sub>
        </m:sSub>
      </m:oMath>
      <w:r w:rsidRPr="00E00E8D">
        <w:rPr>
          <w:rFonts w:ascii="Times New Roman" w:hAnsi="Times New Roman"/>
          <w:sz w:val="20"/>
          <w:szCs w:val="20"/>
        </w:rPr>
        <w:t xml:space="preserve"> is the radon concentration in river;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atm</m:t>
            </m:r>
          </m:sub>
        </m:sSub>
      </m:oMath>
      <w:r w:rsidRPr="00E00E8D">
        <w:rPr>
          <w:rFonts w:ascii="Times New Roman" w:hAnsi="Times New Roman"/>
          <w:sz w:val="20"/>
          <w:szCs w:val="20"/>
        </w:rPr>
        <w:t xml:space="preserve"> represents radon concentration in the air; </w:t>
      </w:r>
      <m:oMath>
        <m:r>
          <w:rPr>
            <w:rFonts w:ascii="Cambria Math" w:hAnsi="Cambria Math"/>
            <w:sz w:val="20"/>
            <w:szCs w:val="20"/>
          </w:rPr>
          <m:t>∝</m:t>
        </m:r>
      </m:oMath>
      <w:r w:rsidRPr="00E00E8D">
        <w:rPr>
          <w:rFonts w:ascii="Times New Roman" w:hAnsi="Times New Roman"/>
          <w:sz w:val="20"/>
          <w:szCs w:val="20"/>
        </w:rPr>
        <w:t xml:space="preserve"> is the Ostwald’s solubility coefficient (0.2 at 30 °C) [29]; </w:t>
      </w:r>
      <w:r w:rsidRPr="00E00E8D">
        <w:rPr>
          <w:rFonts w:ascii="Times New Roman" w:hAnsi="Times New Roman"/>
          <w:i/>
          <w:sz w:val="20"/>
          <w:szCs w:val="20"/>
        </w:rPr>
        <w:t>k</w:t>
      </w:r>
      <w:r w:rsidRPr="00E00E8D">
        <w:rPr>
          <w:rFonts w:ascii="Times New Roman" w:hAnsi="Times New Roman"/>
          <w:sz w:val="20"/>
          <w:szCs w:val="20"/>
        </w:rPr>
        <w:t xml:space="preserve"> is the piston velocity or gas transfer velocity at water-air boundary. The piston velocity of radon can be inferred from wind and current velocity as mentioned in [30]. The </w:t>
      </w:r>
      <w:r w:rsidRPr="00E00E8D">
        <w:rPr>
          <w:rFonts w:ascii="Times New Roman" w:hAnsi="Times New Roman"/>
          <w:i/>
          <w:sz w:val="20"/>
          <w:szCs w:val="20"/>
        </w:rPr>
        <w:t>k</w:t>
      </w:r>
      <w:r w:rsidRPr="00E00E8D">
        <w:rPr>
          <w:rFonts w:ascii="Times New Roman" w:hAnsi="Times New Roman"/>
          <w:sz w:val="20"/>
          <w:szCs w:val="20"/>
        </w:rPr>
        <w:t xml:space="preserve"> valu</w:t>
      </w:r>
      <w:r w:rsidR="006B0D93">
        <w:rPr>
          <w:rFonts w:ascii="Times New Roman" w:hAnsi="Times New Roman"/>
          <w:sz w:val="20"/>
          <w:szCs w:val="20"/>
        </w:rPr>
        <w:t>e is calculated using equation 7</w:t>
      </w:r>
      <w:r w:rsidRPr="00E00E8D">
        <w:rPr>
          <w:rFonts w:ascii="Times New Roman" w:hAnsi="Times New Roman"/>
          <w:sz w:val="20"/>
          <w:szCs w:val="20"/>
        </w:rPr>
        <w:t>:</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ind w:firstLine="720"/>
        <w:jc w:val="both"/>
        <w:outlineLvl w:val="0"/>
        <w:rPr>
          <w:rFonts w:ascii="Times New Roman" w:hAnsi="Times New Roman"/>
          <w:sz w:val="20"/>
          <w:szCs w:val="20"/>
        </w:rPr>
      </w:pPr>
      <m:oMath>
        <m:r>
          <w:rPr>
            <w:rFonts w:ascii="Cambria Math" w:hAnsi="Cambria Math"/>
            <w:sz w:val="20"/>
            <w:szCs w:val="20"/>
          </w:rPr>
          <m:t>k=1+1.719</m:t>
        </m:r>
        <m:sSup>
          <m:sSupPr>
            <m:ctrlPr>
              <w:rPr>
                <w:rFonts w:ascii="Cambria Math" w:hAnsi="Cambria Math"/>
                <w:i/>
                <w:sz w:val="20"/>
                <w:szCs w:val="20"/>
              </w:rPr>
            </m:ctrlPr>
          </m:sSupPr>
          <m:e>
            <m:r>
              <w:rPr>
                <w:rFonts w:ascii="Cambria Math" w:hAnsi="Cambria Math"/>
                <w:sz w:val="20"/>
                <w:szCs w:val="20"/>
              </w:rPr>
              <m:t>w</m:t>
            </m:r>
          </m:e>
          <m:sup>
            <m:r>
              <w:rPr>
                <w:rFonts w:ascii="Cambria Math" w:hAnsi="Cambria Math"/>
                <w:sz w:val="20"/>
                <w:szCs w:val="20"/>
              </w:rPr>
              <m:t>(0.5)</m:t>
            </m:r>
          </m:sup>
        </m:sSup>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-0.5</m:t>
            </m:r>
          </m:sup>
        </m:s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2.58u</m:t>
            </m:r>
          </m:e>
          <m:sub>
            <m:r>
              <w:rPr>
                <w:rFonts w:ascii="Cambria Math" w:hAnsi="Cambria Math"/>
                <w:sz w:val="20"/>
                <w:szCs w:val="20"/>
              </w:rPr>
              <m:t>10</m:t>
            </m:r>
          </m:sub>
        </m:sSub>
      </m:oMath>
      <w:r w:rsidRPr="00E00E8D">
        <w:rPr>
          <w:rFonts w:ascii="Times New Roman" w:hAnsi="Times New Roman"/>
          <w:sz w:val="20"/>
          <w:szCs w:val="20"/>
        </w:rPr>
        <w:t xml:space="preserve">                                      </w:t>
      </w:r>
      <w:r w:rsidRPr="00E00E8D">
        <w:rPr>
          <w:rFonts w:ascii="Times New Roman" w:hAnsi="Times New Roman"/>
          <w:sz w:val="20"/>
          <w:szCs w:val="20"/>
        </w:rPr>
        <w:tab/>
      </w:r>
      <w:r w:rsidRPr="00E00E8D">
        <w:rPr>
          <w:rFonts w:ascii="Times New Roman" w:hAnsi="Times New Roman"/>
          <w:sz w:val="20"/>
          <w:szCs w:val="20"/>
        </w:rPr>
        <w:tab/>
        <w:t xml:space="preserve">   </w:t>
      </w:r>
      <w:r w:rsidRPr="00E00E8D">
        <w:rPr>
          <w:rFonts w:ascii="Times New Roman" w:hAnsi="Times New Roman"/>
          <w:sz w:val="20"/>
          <w:szCs w:val="20"/>
        </w:rPr>
        <w:tab/>
      </w:r>
      <w:r w:rsidRPr="00E00E8D">
        <w:rPr>
          <w:rFonts w:ascii="Times New Roman" w:hAnsi="Times New Roman"/>
          <w:sz w:val="20"/>
          <w:szCs w:val="20"/>
        </w:rPr>
        <w:tab/>
      </w:r>
      <w:r w:rsidRPr="00E00E8D">
        <w:rPr>
          <w:rFonts w:ascii="Times New Roman" w:hAnsi="Times New Roman"/>
          <w:sz w:val="20"/>
          <w:szCs w:val="20"/>
        </w:rPr>
        <w:tab/>
        <w:t xml:space="preserve">  </w:t>
      </w:r>
      <w:r w:rsidR="00DB504F">
        <w:rPr>
          <w:rFonts w:ascii="Times New Roman" w:hAnsi="Times New Roman"/>
          <w:sz w:val="20"/>
          <w:szCs w:val="20"/>
        </w:rPr>
        <w:t xml:space="preserve">      </w:t>
      </w:r>
      <w:r w:rsidR="006B0D93">
        <w:rPr>
          <w:rFonts w:ascii="Times New Roman" w:hAnsi="Times New Roman"/>
          <w:sz w:val="20"/>
          <w:szCs w:val="20"/>
        </w:rPr>
        <w:t xml:space="preserve"> (7</w:t>
      </w:r>
      <w:r w:rsidRPr="00E00E8D">
        <w:rPr>
          <w:rFonts w:ascii="Times New Roman" w:hAnsi="Times New Roman"/>
          <w:sz w:val="20"/>
          <w:szCs w:val="20"/>
        </w:rPr>
        <w:t>)</w:t>
      </w:r>
    </w:p>
    <w:p w:rsidR="00E00E8D" w:rsidRPr="00E00E8D" w:rsidRDefault="00E00E8D" w:rsidP="00E00E8D">
      <w:pPr>
        <w:spacing w:after="0" w:line="240" w:lineRule="auto"/>
        <w:jc w:val="both"/>
        <w:outlineLvl w:val="0"/>
        <w:rPr>
          <w:rFonts w:ascii="Times New Roman" w:hAnsi="Times New Roman"/>
          <w:sz w:val="20"/>
          <w:szCs w:val="20"/>
        </w:rPr>
      </w:pPr>
    </w:p>
    <w:p w:rsidR="00E00E8D" w:rsidRPr="00E00E8D" w:rsidRDefault="00E00E8D" w:rsidP="00E00E8D">
      <w:pPr>
        <w:spacing w:after="0" w:line="240" w:lineRule="auto"/>
        <w:jc w:val="both"/>
        <w:outlineLvl w:val="0"/>
        <w:rPr>
          <w:rFonts w:ascii="Times New Roman" w:hAnsi="Times New Roman"/>
          <w:sz w:val="20"/>
          <w:szCs w:val="20"/>
        </w:rPr>
      </w:pPr>
      <w:r w:rsidRPr="00E00E8D">
        <w:rPr>
          <w:rFonts w:ascii="Times New Roman" w:hAnsi="Times New Roman"/>
          <w:sz w:val="20"/>
          <w:szCs w:val="20"/>
        </w:rPr>
        <w:t xml:space="preserve">where </w:t>
      </w:r>
      <m:oMath>
        <m:r>
          <w:rPr>
            <w:rFonts w:ascii="Cambria Math" w:hAnsi="Cambria Math"/>
            <w:sz w:val="20"/>
            <w:szCs w:val="20"/>
          </w:rPr>
          <m:t>w</m:t>
        </m:r>
      </m:oMath>
      <w:r w:rsidRPr="00E00E8D">
        <w:rPr>
          <w:rFonts w:ascii="Times New Roman" w:hAnsi="Times New Roman"/>
          <w:i/>
          <w:sz w:val="20"/>
          <w:szCs w:val="20"/>
        </w:rPr>
        <w:t xml:space="preserve"> </w:t>
      </w:r>
      <w:r w:rsidRPr="00E00E8D">
        <w:rPr>
          <w:rFonts w:ascii="Times New Roman" w:hAnsi="Times New Roman"/>
          <w:sz w:val="20"/>
          <w:szCs w:val="20"/>
        </w:rPr>
        <w:t>is the water current velocity (cms</w:t>
      </w:r>
      <w:r w:rsidRPr="00E00E8D">
        <w:rPr>
          <w:rFonts w:ascii="Times New Roman" w:hAnsi="Times New Roman"/>
          <w:sz w:val="20"/>
          <w:szCs w:val="20"/>
          <w:vertAlign w:val="superscript"/>
        </w:rPr>
        <w:t>-1</w:t>
      </w:r>
      <w:r w:rsidRPr="00E00E8D">
        <w:rPr>
          <w:rFonts w:ascii="Times New Roman" w:hAnsi="Times New Roman"/>
          <w:sz w:val="20"/>
          <w:szCs w:val="20"/>
        </w:rPr>
        <w:t xml:space="preserve">) in river measured by a handheld flowmeter (Hach, USA), </w:t>
      </w:r>
      <m:oMath>
        <m:r>
          <w:rPr>
            <w:rFonts w:ascii="Cambria Math" w:hAnsi="Cambria Math"/>
            <w:sz w:val="20"/>
            <w:szCs w:val="20"/>
          </w:rPr>
          <m:t>h</m:t>
        </m:r>
      </m:oMath>
      <w:r w:rsidRPr="00E00E8D">
        <w:rPr>
          <w:rFonts w:ascii="Times New Roman" w:hAnsi="Times New Roman"/>
          <w:i/>
          <w:sz w:val="20"/>
          <w:szCs w:val="20"/>
        </w:rPr>
        <w:t xml:space="preserve"> </w:t>
      </w:r>
      <w:r w:rsidRPr="00E00E8D">
        <w:rPr>
          <w:rFonts w:ascii="Times New Roman" w:hAnsi="Times New Roman"/>
          <w:sz w:val="20"/>
          <w:szCs w:val="20"/>
        </w:rPr>
        <w:t xml:space="preserve">is the effective depth of water exchanging with the atmosphere (m), in this case, the average water depth of Ular River was adopted.  </w:t>
      </w:r>
      <m:oMath>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10</m:t>
            </m:r>
          </m:sub>
        </m:sSub>
        <m:r>
          <w:rPr>
            <w:rFonts w:ascii="Cambria Math" w:hAnsi="Cambria Math"/>
            <w:sz w:val="20"/>
            <w:szCs w:val="20"/>
          </w:rPr>
          <m:t xml:space="preserve"> </m:t>
        </m:r>
      </m:oMath>
      <w:r w:rsidRPr="00E00E8D">
        <w:rPr>
          <w:rFonts w:ascii="Times New Roman" w:hAnsi="Times New Roman"/>
          <w:sz w:val="20"/>
          <w:szCs w:val="20"/>
        </w:rPr>
        <w:t>is the wind speed (ms</w:t>
      </w:r>
      <w:r w:rsidRPr="00E00E8D">
        <w:rPr>
          <w:rFonts w:ascii="Times New Roman" w:hAnsi="Times New Roman"/>
          <w:sz w:val="20"/>
          <w:szCs w:val="20"/>
          <w:vertAlign w:val="superscript"/>
        </w:rPr>
        <w:t>-1</w:t>
      </w:r>
      <w:r w:rsidRPr="00E00E8D">
        <w:rPr>
          <w:rFonts w:ascii="Times New Roman" w:hAnsi="Times New Roman"/>
          <w:sz w:val="20"/>
          <w:szCs w:val="20"/>
        </w:rPr>
        <w:t>) recorded by a portable digital anemometer (Kanomax, USA) on hourly basis during the radon-in-air sampling.</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B504F" w:rsidRPr="00DB504F" w:rsidRDefault="00DB504F" w:rsidP="00DB504F">
      <w:pPr>
        <w:spacing w:after="0" w:line="240" w:lineRule="auto"/>
        <w:jc w:val="both"/>
        <w:outlineLvl w:val="0"/>
        <w:rPr>
          <w:rFonts w:ascii="Times New Roman" w:hAnsi="Times New Roman"/>
          <w:b/>
          <w:sz w:val="20"/>
          <w:szCs w:val="20"/>
        </w:rPr>
      </w:pPr>
      <w:r w:rsidRPr="00DB504F">
        <w:rPr>
          <w:rFonts w:ascii="Times New Roman" w:hAnsi="Times New Roman"/>
          <w:b/>
          <w:sz w:val="20"/>
          <w:szCs w:val="20"/>
        </w:rPr>
        <w:t>Variations of the water quality in Ular River during base flow and post-storm conditions</w:t>
      </w:r>
    </w:p>
    <w:p w:rsidR="00DB504F" w:rsidRPr="00DB504F" w:rsidRDefault="00DB504F" w:rsidP="00DB504F">
      <w:pPr>
        <w:spacing w:after="0" w:line="240" w:lineRule="auto"/>
        <w:jc w:val="both"/>
        <w:outlineLvl w:val="0"/>
        <w:rPr>
          <w:rFonts w:ascii="Times New Roman" w:hAnsi="Times New Roman"/>
          <w:sz w:val="20"/>
          <w:szCs w:val="20"/>
        </w:rPr>
      </w:pPr>
      <w:r w:rsidRPr="00DB504F">
        <w:rPr>
          <w:rFonts w:ascii="Times New Roman" w:hAnsi="Times New Roman"/>
          <w:sz w:val="20"/>
          <w:szCs w:val="20"/>
        </w:rPr>
        <w:t>The physicochemical and nutrients data for all water samples are presented in Table 1. Figure 4a displays a clear seasonal variation of salt water intrusion in Ular River. During the dry period (March 2015), salt-wedge reached its maximum of ~700m from river mouth with the salinity ranged from 0.02 to 33.12 psu. In contrast, the water salinity stayed relatively fresh</w:t>
      </w:r>
      <w:r w:rsidRPr="00DB504F">
        <w:rPr>
          <w:rFonts w:ascii="Times New Roman" w:hAnsi="Times New Roman"/>
          <w:iCs/>
          <w:sz w:val="20"/>
          <w:szCs w:val="20"/>
        </w:rPr>
        <w:t xml:space="preserve"> (</w:t>
      </w:r>
      <w:r w:rsidRPr="00DB504F">
        <w:rPr>
          <w:rFonts w:ascii="Times New Roman" w:hAnsi="Times New Roman"/>
          <w:sz w:val="20"/>
          <w:szCs w:val="20"/>
        </w:rPr>
        <w:t xml:space="preserve">&lt; 2ppt) during the post-storm period (January 2015) in Ular River.    </w:t>
      </w:r>
    </w:p>
    <w:p w:rsidR="00DB504F" w:rsidRPr="00DB504F" w:rsidRDefault="00DB504F" w:rsidP="00DB504F">
      <w:pPr>
        <w:spacing w:after="0" w:line="240" w:lineRule="auto"/>
        <w:jc w:val="both"/>
        <w:outlineLvl w:val="0"/>
        <w:rPr>
          <w:rFonts w:ascii="Times New Roman" w:hAnsi="Times New Roman"/>
          <w:sz w:val="20"/>
          <w:szCs w:val="20"/>
        </w:rPr>
      </w:pPr>
    </w:p>
    <w:p w:rsidR="00DB504F" w:rsidRPr="00DB504F" w:rsidRDefault="00DB504F" w:rsidP="00DB504F">
      <w:pPr>
        <w:spacing w:after="0" w:line="240" w:lineRule="auto"/>
        <w:jc w:val="both"/>
        <w:outlineLvl w:val="0"/>
        <w:rPr>
          <w:rFonts w:ascii="Times New Roman" w:hAnsi="Times New Roman"/>
          <w:sz w:val="20"/>
          <w:szCs w:val="20"/>
        </w:rPr>
      </w:pPr>
      <w:r w:rsidRPr="00DB504F">
        <w:rPr>
          <w:rFonts w:ascii="Times New Roman" w:hAnsi="Times New Roman"/>
          <w:sz w:val="20"/>
          <w:szCs w:val="20"/>
        </w:rPr>
        <w:t>Figure 4b shows higher radon concentration (average: 620 Bq/m</w:t>
      </w:r>
      <w:r w:rsidRPr="00DB504F">
        <w:rPr>
          <w:rFonts w:ascii="Times New Roman" w:hAnsi="Times New Roman"/>
          <w:sz w:val="20"/>
          <w:szCs w:val="20"/>
          <w:vertAlign w:val="superscript"/>
        </w:rPr>
        <w:t>3</w:t>
      </w:r>
      <w:r w:rsidRPr="00DB504F">
        <w:rPr>
          <w:rFonts w:ascii="Times New Roman" w:hAnsi="Times New Roman"/>
          <w:sz w:val="20"/>
          <w:szCs w:val="20"/>
        </w:rPr>
        <w:t>, n=8) observed after the storm event as compared to the dry period (average: 248 Bq/m</w:t>
      </w:r>
      <w:r w:rsidRPr="00DB504F">
        <w:rPr>
          <w:rFonts w:ascii="Times New Roman" w:hAnsi="Times New Roman"/>
          <w:sz w:val="20"/>
          <w:szCs w:val="20"/>
          <w:vertAlign w:val="superscript"/>
        </w:rPr>
        <w:t>3</w:t>
      </w:r>
      <w:r w:rsidRPr="00DB504F">
        <w:rPr>
          <w:rFonts w:ascii="Times New Roman" w:hAnsi="Times New Roman"/>
          <w:sz w:val="20"/>
          <w:szCs w:val="20"/>
        </w:rPr>
        <w:t xml:space="preserve">, n=8). Higher radon concentration during the post-storm event could be the result of increased groundwater influx from the shallow aquifer into the river basin [34]. Rapid increase of groundwater table during the storm period could increase the hydrostatic pressure thus increase the lateral groundwater discharge into adjacent river [31, 32].  Level of radon recorded during post-storm was at least one magnitude higher compared to the dry period, indicates high portion of groundwater contributing to storm flow generated in Ular River. </w:t>
      </w:r>
    </w:p>
    <w:p w:rsidR="00DB504F" w:rsidRPr="00DB504F" w:rsidRDefault="00DB504F" w:rsidP="00A80F38">
      <w:pPr>
        <w:spacing w:after="120" w:line="240" w:lineRule="auto"/>
        <w:jc w:val="both"/>
        <w:outlineLvl w:val="0"/>
        <w:rPr>
          <w:rFonts w:ascii="Times New Roman" w:hAnsi="Times New Roman"/>
          <w:sz w:val="20"/>
          <w:szCs w:val="20"/>
        </w:rPr>
      </w:pPr>
    </w:p>
    <w:tbl>
      <w:tblPr>
        <w:tblW w:w="0" w:type="auto"/>
        <w:jc w:val="center"/>
        <w:tblLook w:val="04A0" w:firstRow="1" w:lastRow="0" w:firstColumn="1" w:lastColumn="0" w:noHBand="0" w:noVBand="1"/>
      </w:tblPr>
      <w:tblGrid>
        <w:gridCol w:w="3936"/>
        <w:gridCol w:w="3906"/>
      </w:tblGrid>
      <w:tr w:rsidR="00DB504F" w:rsidRPr="00DB504F" w:rsidTr="00D134EC">
        <w:trPr>
          <w:trHeight w:val="1440"/>
          <w:jc w:val="center"/>
        </w:trPr>
        <w:tc>
          <w:tcPr>
            <w:tcW w:w="3936"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noProof/>
                <w:sz w:val="20"/>
                <w:szCs w:val="20"/>
                <w:lang w:val="en-GB" w:eastAsia="ko-KR" w:bidi="ar-SA"/>
              </w:rPr>
              <w:drawing>
                <wp:inline distT="0" distB="0" distL="0" distR="0" wp14:anchorId="597BAE98" wp14:editId="78E5D721">
                  <wp:extent cx="2328531" cy="1084521"/>
                  <wp:effectExtent l="0" t="0" r="15240" b="20955"/>
                  <wp:docPr id="256" name="Chart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3906" w:type="dxa"/>
          </w:tcPr>
          <w:p w:rsidR="00DB504F" w:rsidRPr="00DB504F" w:rsidRDefault="00DB504F" w:rsidP="00F57AA2">
            <w:pPr>
              <w:spacing w:after="120" w:line="240" w:lineRule="auto"/>
              <w:jc w:val="both"/>
              <w:outlineLvl w:val="0"/>
              <w:rPr>
                <w:rFonts w:ascii="Times New Roman" w:hAnsi="Times New Roman"/>
                <w:sz w:val="20"/>
                <w:szCs w:val="20"/>
              </w:rPr>
            </w:pP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704832" behindDoc="0" locked="0" layoutInCell="1" allowOverlap="1" wp14:anchorId="247B0BFE" wp14:editId="1F87E49E">
                      <wp:simplePos x="0" y="0"/>
                      <wp:positionH relativeFrom="column">
                        <wp:posOffset>1560195</wp:posOffset>
                      </wp:positionH>
                      <wp:positionV relativeFrom="paragraph">
                        <wp:posOffset>106045</wp:posOffset>
                      </wp:positionV>
                      <wp:extent cx="419100" cy="281495"/>
                      <wp:effectExtent l="0" t="0" r="0" b="4445"/>
                      <wp:wrapNone/>
                      <wp:docPr id="238" name="Text Box 238"/>
                      <wp:cNvGraphicFramePr/>
                      <a:graphic xmlns:a="http://schemas.openxmlformats.org/drawingml/2006/main">
                        <a:graphicData uri="http://schemas.microsoft.com/office/word/2010/wordprocessingShape">
                          <wps:wsp>
                            <wps:cNvSpPr txBox="1"/>
                            <wps:spPr>
                              <a:xfrm>
                                <a:off x="0" y="0"/>
                                <a:ext cx="419100" cy="281495"/>
                              </a:xfrm>
                              <a:prstGeom prst="rect">
                                <a:avLst/>
                              </a:prstGeom>
                              <a:noFill/>
                              <a:ln w="6350">
                                <a:noFill/>
                              </a:ln>
                              <a:effectLst/>
                            </wps:spPr>
                            <wps:txbx>
                              <w:txbxContent>
                                <w:p w:rsidR="003D78A0" w:rsidRPr="00DB504F" w:rsidRDefault="003D78A0" w:rsidP="00DB504F">
                                  <w:pPr>
                                    <w:jc w:val="right"/>
                                    <w:rPr>
                                      <w:rFonts w:ascii="Times New Roman" w:hAnsi="Times New Roman"/>
                                      <w:b/>
                                      <w:sz w:val="20"/>
                                      <w:szCs w:val="20"/>
                                    </w:rPr>
                                  </w:pPr>
                                  <w:r w:rsidRPr="00DB504F">
                                    <w:rPr>
                                      <w:rFonts w:ascii="Times New Roman" w:hAnsi="Times New Roman"/>
                                      <w:b/>
                                      <w:bCs/>
                                      <w:sz w:val="20"/>
                                      <w:szCs w:val="20"/>
                                    </w:rPr>
                                    <w:t>(b)</w:t>
                                  </w:r>
                                </w:p>
                                <w:p w:rsidR="003D78A0" w:rsidRPr="009A7143" w:rsidRDefault="003D78A0" w:rsidP="00DB504F">
                                  <w:pPr>
                                    <w:rPr>
                                      <w:rFonts w:ascii="Times New Roman" w:hAnsi="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8" o:spid="_x0000_s1028" type="#_x0000_t202" style="position:absolute;left:0;text-align:left;margin-left:122.85pt;margin-top:8.35pt;width:33pt;height:22.1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" filled="f" stroked="f" strokeweight=".5pt">
                      <v:textbox>
                        <w:txbxContent>
                          <w:p w:rsidR="003D78A0" w:rsidRPr="00DB504F" w:rsidRDefault="003D78A0" w:rsidP="00DB504F">
                            <w:pPr>
                              <w:jc w:val="right"/>
                              <w:rPr>
                                <w:rFonts w:ascii="Times New Roman" w:hAnsi="Times New Roman"/>
                                <w:b/>
                                <w:sz w:val="20"/>
                                <w:szCs w:val="20"/>
                              </w:rPr>
                            </w:pPr>
                            <w:r w:rsidRPr="00DB504F">
                              <w:rPr>
                                <w:rFonts w:ascii="Times New Roman" w:hAnsi="Times New Roman"/>
                                <w:b/>
                                <w:bCs/>
                                <w:sz w:val="20"/>
                                <w:szCs w:val="20"/>
                              </w:rPr>
                              <w:t>(b)</w:t>
                            </w:r>
                          </w:p>
                          <w:p w:rsidR="003D78A0" w:rsidRPr="009A7143" w:rsidRDefault="003D78A0" w:rsidP="00DB504F">
                            <w:pPr>
                              <w:rPr>
                                <w:rFonts w:ascii="Times New Roman" w:hAnsi="Times New Roman"/>
                                <w:sz w:val="24"/>
                              </w:rPr>
                            </w:pPr>
                          </w:p>
                        </w:txbxContent>
                      </v:textbox>
                    </v:shape>
                  </w:pict>
                </mc:Fallback>
              </mc:AlternateContent>
            </w:r>
            <w:r w:rsidRPr="00DB504F">
              <w:rPr>
                <w:rFonts w:ascii="Times New Roman" w:hAnsi="Times New Roman"/>
                <w:noProof/>
                <w:sz w:val="20"/>
                <w:szCs w:val="20"/>
                <w:lang w:val="en-GB" w:eastAsia="ko-KR" w:bidi="ar-SA"/>
              </w:rPr>
              <w:drawing>
                <wp:inline distT="0" distB="0" distL="0" distR="0" wp14:anchorId="3B5A56F8" wp14:editId="13C72C35">
                  <wp:extent cx="2327910" cy="1083945"/>
                  <wp:effectExtent l="0" t="0" r="15240" b="20955"/>
                  <wp:docPr id="257" name="Chart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DB504F" w:rsidRPr="00DB504F" w:rsidTr="00F57AA2">
        <w:trPr>
          <w:trHeight w:val="1296"/>
          <w:jc w:val="center"/>
        </w:trPr>
        <w:tc>
          <w:tcPr>
            <w:tcW w:w="3936" w:type="dxa"/>
          </w:tcPr>
          <w:p w:rsidR="00DB504F" w:rsidRPr="00DB504F" w:rsidRDefault="00DB504F" w:rsidP="00F57AA2">
            <w:pPr>
              <w:spacing w:after="0" w:line="240" w:lineRule="auto"/>
              <w:jc w:val="both"/>
              <w:outlineLvl w:val="0"/>
              <w:rPr>
                <w:rFonts w:ascii="Times New Roman" w:hAnsi="Times New Roman"/>
                <w:sz w:val="20"/>
                <w:szCs w:val="20"/>
              </w:rPr>
            </w:pPr>
            <w:r w:rsidRPr="00DB504F">
              <w:rPr>
                <w:rFonts w:ascii="Times New Roman" w:hAnsi="Times New Roman"/>
                <w:noProof/>
                <w:sz w:val="20"/>
                <w:szCs w:val="20"/>
                <w:lang w:val="en-GB" w:eastAsia="ko-KR" w:bidi="ar-SA"/>
              </w:rPr>
              <w:drawing>
                <wp:anchor distT="0" distB="0" distL="114300" distR="114300" simplePos="0" relativeHeight="251706880" behindDoc="0" locked="0" layoutInCell="1" allowOverlap="1" wp14:anchorId="7F023FD8" wp14:editId="1458317D">
                  <wp:simplePos x="0" y="0"/>
                  <wp:positionH relativeFrom="column">
                    <wp:posOffset>773</wp:posOffset>
                  </wp:positionH>
                  <wp:positionV relativeFrom="paragraph">
                    <wp:posOffset>248</wp:posOffset>
                  </wp:positionV>
                  <wp:extent cx="2327910" cy="1160891"/>
                  <wp:effectExtent l="0" t="0" r="15240" b="20320"/>
                  <wp:wrapSquare wrapText="bothSides"/>
                  <wp:docPr id="258" name="Chart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tc>
        <w:tc>
          <w:tcPr>
            <w:tcW w:w="3906"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705856" behindDoc="0" locked="0" layoutInCell="1" allowOverlap="1" wp14:anchorId="166F512B" wp14:editId="4789A068">
                      <wp:simplePos x="0" y="0"/>
                      <wp:positionH relativeFrom="column">
                        <wp:posOffset>1779215</wp:posOffset>
                      </wp:positionH>
                      <wp:positionV relativeFrom="paragraph">
                        <wp:posOffset>79762</wp:posOffset>
                      </wp:positionV>
                      <wp:extent cx="395577" cy="296545"/>
                      <wp:effectExtent l="0" t="0" r="0" b="0"/>
                      <wp:wrapNone/>
                      <wp:docPr id="7" name="Text Box 7"/>
                      <wp:cNvGraphicFramePr/>
                      <a:graphic xmlns:a="http://schemas.openxmlformats.org/drawingml/2006/main">
                        <a:graphicData uri="http://schemas.microsoft.com/office/word/2010/wordprocessingShape">
                          <wps:wsp>
                            <wps:cNvSpPr txBox="1"/>
                            <wps:spPr>
                              <a:xfrm>
                                <a:off x="0" y="0"/>
                                <a:ext cx="395577" cy="296545"/>
                              </a:xfrm>
                              <a:prstGeom prst="rect">
                                <a:avLst/>
                              </a:prstGeom>
                              <a:noFill/>
                              <a:ln w="6350">
                                <a:noFill/>
                              </a:ln>
                              <a:effectLst/>
                            </wps:spPr>
                            <wps:txbx>
                              <w:txbxContent>
                                <w:p w:rsidR="003D78A0" w:rsidRPr="00DB504F" w:rsidRDefault="003D78A0" w:rsidP="00DB504F">
                                  <w:pPr>
                                    <w:jc w:val="right"/>
                                    <w:rPr>
                                      <w:rFonts w:ascii="Times New Roman" w:hAnsi="Times New Roman"/>
                                      <w:b/>
                                      <w:sz w:val="20"/>
                                      <w:szCs w:val="20"/>
                                    </w:rPr>
                                  </w:pPr>
                                  <w:r w:rsidRPr="00DB504F">
                                    <w:rPr>
                                      <w:rFonts w:ascii="Times New Roman" w:hAnsi="Times New Roman"/>
                                      <w:b/>
                                      <w:sz w:val="20"/>
                                      <w:szCs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140.1pt;margin-top:6.3pt;width:31.15pt;height:23.3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" filled="f" stroked="f" strokeweight=".5pt">
                      <v:textbox>
                        <w:txbxContent>
                          <w:p w:rsidR="003D78A0" w:rsidRPr="00DB504F" w:rsidRDefault="003D78A0" w:rsidP="00DB504F">
                            <w:pPr>
                              <w:jc w:val="right"/>
                              <w:rPr>
                                <w:rFonts w:ascii="Times New Roman" w:hAnsi="Times New Roman"/>
                                <w:b/>
                                <w:sz w:val="20"/>
                                <w:szCs w:val="20"/>
                              </w:rPr>
                            </w:pPr>
                            <w:r w:rsidRPr="00DB504F">
                              <w:rPr>
                                <w:rFonts w:ascii="Times New Roman" w:hAnsi="Times New Roman"/>
                                <w:b/>
                                <w:sz w:val="20"/>
                                <w:szCs w:val="20"/>
                              </w:rPr>
                              <w:t>(d)</w:t>
                            </w:r>
                          </w:p>
                        </w:txbxContent>
                      </v:textbox>
                    </v:shape>
                  </w:pict>
                </mc:Fallback>
              </mc:AlternateContent>
            </w:r>
            <w:r w:rsidRPr="00DB504F">
              <w:rPr>
                <w:rFonts w:ascii="Times New Roman" w:hAnsi="Times New Roman"/>
                <w:noProof/>
                <w:sz w:val="20"/>
                <w:szCs w:val="20"/>
                <w:lang w:val="en-GB" w:eastAsia="ko-KR" w:bidi="ar-SA"/>
              </w:rPr>
              <w:drawing>
                <wp:inline distT="0" distB="0" distL="0" distR="0" wp14:anchorId="05DBA20E" wp14:editId="55E4B89E">
                  <wp:extent cx="2327910" cy="1148080"/>
                  <wp:effectExtent l="0" t="0" r="15240" b="13970"/>
                  <wp:docPr id="259" name="Chart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D134EC" w:rsidRPr="00DB504F" w:rsidTr="00D134EC">
        <w:trPr>
          <w:trHeight w:val="1440"/>
          <w:jc w:val="center"/>
        </w:trPr>
        <w:tc>
          <w:tcPr>
            <w:tcW w:w="7842" w:type="dxa"/>
            <w:gridSpan w:val="2"/>
          </w:tcPr>
          <w:p w:rsidR="00D134EC" w:rsidRPr="00DB504F" w:rsidRDefault="00D134EC" w:rsidP="003034BF">
            <w:pPr>
              <w:spacing w:after="120" w:line="240" w:lineRule="auto"/>
              <w:jc w:val="center"/>
              <w:outlineLvl w:val="0"/>
              <w:rPr>
                <w:rFonts w:ascii="Times New Roman" w:hAnsi="Times New Roman"/>
                <w:sz w:val="20"/>
                <w:szCs w:val="20"/>
              </w:rPr>
            </w:pPr>
            <w:r w:rsidRPr="00DB504F">
              <w:rPr>
                <w:rFonts w:ascii="Times New Roman" w:hAnsi="Times New Roman"/>
                <w:noProof/>
                <w:sz w:val="20"/>
                <w:szCs w:val="20"/>
                <w:lang w:val="en-GB" w:eastAsia="ko-KR" w:bidi="ar-SA"/>
              </w:rPr>
              <w:lastRenderedPageBreak/>
              <w:drawing>
                <wp:inline distT="0" distB="0" distL="0" distR="0" wp14:anchorId="2D5F7363" wp14:editId="41DA723C">
                  <wp:extent cx="2274073" cy="1264257"/>
                  <wp:effectExtent l="0" t="0" r="12065" b="12700"/>
                  <wp:docPr id="260" name="Chart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bl>
    <w:p w:rsidR="00DB504F" w:rsidRDefault="00DB504F" w:rsidP="00201423">
      <w:pPr>
        <w:tabs>
          <w:tab w:val="center" w:pos="4513"/>
        </w:tabs>
        <w:spacing w:after="0" w:line="240" w:lineRule="auto"/>
        <w:ind w:left="851" w:hanging="851"/>
        <w:jc w:val="both"/>
        <w:outlineLvl w:val="0"/>
        <w:rPr>
          <w:rFonts w:ascii="Times New Roman" w:hAnsi="Times New Roman"/>
          <w:iCs/>
          <w:sz w:val="20"/>
          <w:szCs w:val="20"/>
        </w:rPr>
      </w:pPr>
      <w:r w:rsidRPr="00DB504F">
        <w:rPr>
          <w:rFonts w:ascii="Times New Roman" w:hAnsi="Times New Roman"/>
          <w:iCs/>
          <w:sz w:val="20"/>
          <w:szCs w:val="20"/>
        </w:rPr>
        <w:t xml:space="preserve">Figure 4. </w:t>
      </w:r>
      <w:r>
        <w:rPr>
          <w:rFonts w:ascii="Times New Roman" w:hAnsi="Times New Roman"/>
          <w:iCs/>
          <w:sz w:val="20"/>
          <w:szCs w:val="20"/>
        </w:rPr>
        <w:tab/>
      </w:r>
      <w:r w:rsidRPr="00DB504F">
        <w:rPr>
          <w:rFonts w:ascii="Times New Roman" w:hAnsi="Times New Roman"/>
          <w:iCs/>
          <w:sz w:val="20"/>
          <w:szCs w:val="20"/>
        </w:rPr>
        <w:t>Longitudinal variation of salinity, radon and nutrient parameters in Ular River against distance from the river mouth; post-storm period (Jan 2015) in black and dry period (March 2015) in grey</w:t>
      </w:r>
    </w:p>
    <w:p w:rsidR="00270AD8" w:rsidRPr="00DB504F" w:rsidRDefault="00270AD8" w:rsidP="00201423">
      <w:pPr>
        <w:tabs>
          <w:tab w:val="center" w:pos="4513"/>
        </w:tabs>
        <w:spacing w:after="0" w:line="240" w:lineRule="auto"/>
        <w:ind w:left="851" w:hanging="851"/>
        <w:jc w:val="both"/>
        <w:outlineLvl w:val="0"/>
        <w:rPr>
          <w:rFonts w:ascii="Times New Roman" w:hAnsi="Times New Roman"/>
          <w:iCs/>
          <w:sz w:val="20"/>
          <w:szCs w:val="20"/>
        </w:rPr>
      </w:pPr>
    </w:p>
    <w:p w:rsidR="0027164D" w:rsidRPr="00DB504F" w:rsidRDefault="00DB504F" w:rsidP="00270AD8">
      <w:pPr>
        <w:tabs>
          <w:tab w:val="center" w:pos="4513"/>
        </w:tabs>
        <w:spacing w:after="120" w:line="240" w:lineRule="auto"/>
        <w:jc w:val="center"/>
        <w:outlineLvl w:val="0"/>
        <w:rPr>
          <w:rFonts w:ascii="Times New Roman" w:hAnsi="Times New Roman"/>
          <w:iCs/>
          <w:sz w:val="20"/>
          <w:szCs w:val="20"/>
        </w:rPr>
      </w:pPr>
      <w:r w:rsidRPr="00DB504F">
        <w:rPr>
          <w:rFonts w:ascii="Times New Roman" w:hAnsi="Times New Roman"/>
          <w:iCs/>
          <w:sz w:val="20"/>
          <w:szCs w:val="20"/>
        </w:rPr>
        <w:t xml:space="preserve">Table 1. </w:t>
      </w:r>
      <w:r>
        <w:rPr>
          <w:rFonts w:ascii="Times New Roman" w:hAnsi="Times New Roman"/>
          <w:iCs/>
          <w:sz w:val="20"/>
          <w:szCs w:val="20"/>
        </w:rPr>
        <w:t xml:space="preserve"> </w:t>
      </w:r>
      <w:r w:rsidRPr="00DB504F">
        <w:rPr>
          <w:rFonts w:ascii="Times New Roman" w:hAnsi="Times New Roman"/>
          <w:iCs/>
          <w:sz w:val="20"/>
          <w:szCs w:val="20"/>
        </w:rPr>
        <w:t>Physicochemical and nutrient data for both surface and groundwater</w:t>
      </w:r>
    </w:p>
    <w:tbl>
      <w:tblPr>
        <w:tblStyle w:val="TableGrid"/>
        <w:tblW w:w="98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9"/>
        <w:gridCol w:w="604"/>
        <w:gridCol w:w="1008"/>
        <w:gridCol w:w="1008"/>
        <w:gridCol w:w="720"/>
        <w:gridCol w:w="461"/>
        <w:gridCol w:w="489"/>
        <w:gridCol w:w="810"/>
        <w:gridCol w:w="990"/>
        <w:gridCol w:w="991"/>
        <w:gridCol w:w="801"/>
        <w:gridCol w:w="818"/>
        <w:gridCol w:w="810"/>
      </w:tblGrid>
      <w:tr w:rsidR="00DB504F" w:rsidRPr="007A3A48" w:rsidTr="00D4341F">
        <w:trPr>
          <w:jc w:val="center"/>
        </w:trPr>
        <w:tc>
          <w:tcPr>
            <w:tcW w:w="349" w:type="dxa"/>
            <w:tcBorders>
              <w:top w:val="single" w:sz="4" w:space="0" w:color="auto"/>
              <w:bottom w:val="single" w:sz="4" w:space="0" w:color="auto"/>
            </w:tcBorders>
          </w:tcPr>
          <w:p w:rsidR="00DB504F" w:rsidRPr="007A3A48" w:rsidRDefault="00DB504F" w:rsidP="003034BF">
            <w:pPr>
              <w:spacing w:after="0" w:line="240" w:lineRule="auto"/>
              <w:jc w:val="both"/>
              <w:outlineLvl w:val="0"/>
              <w:rPr>
                <w:rFonts w:ascii="Times New Roman" w:hAnsi="Times New Roman" w:cs="Times New Roman"/>
                <w:b/>
                <w:sz w:val="18"/>
                <w:szCs w:val="18"/>
              </w:rPr>
            </w:pPr>
          </w:p>
        </w:tc>
        <w:tc>
          <w:tcPr>
            <w:tcW w:w="604" w:type="dxa"/>
            <w:tcBorders>
              <w:top w:val="single" w:sz="4" w:space="0" w:color="auto"/>
              <w:bottom w:val="single" w:sz="4" w:space="0" w:color="auto"/>
            </w:tcBorders>
          </w:tcPr>
          <w:p w:rsidR="00DB504F" w:rsidRPr="007A3A48" w:rsidRDefault="00DB504F" w:rsidP="003034BF">
            <w:pPr>
              <w:spacing w:before="60" w:after="0" w:line="240" w:lineRule="auto"/>
              <w:jc w:val="both"/>
              <w:outlineLvl w:val="0"/>
              <w:rPr>
                <w:rFonts w:ascii="Times New Roman" w:hAnsi="Times New Roman" w:cs="Times New Roman"/>
                <w:b/>
                <w:sz w:val="18"/>
                <w:szCs w:val="18"/>
              </w:rPr>
            </w:pPr>
            <w:r w:rsidRPr="007A3A48">
              <w:rPr>
                <w:rFonts w:ascii="Times New Roman" w:hAnsi="Times New Roman" w:cs="Times New Roman"/>
                <w:b/>
                <w:sz w:val="18"/>
                <w:szCs w:val="18"/>
              </w:rPr>
              <w:t>Site</w:t>
            </w:r>
          </w:p>
        </w:tc>
        <w:tc>
          <w:tcPr>
            <w:tcW w:w="1008" w:type="dxa"/>
            <w:tcBorders>
              <w:top w:val="single" w:sz="4" w:space="0" w:color="auto"/>
              <w:bottom w:val="single" w:sz="4" w:space="0" w:color="auto"/>
            </w:tcBorders>
            <w:vAlign w:val="bottom"/>
          </w:tcPr>
          <w:p w:rsidR="00DB504F" w:rsidRPr="007A3A48" w:rsidRDefault="00DB504F" w:rsidP="003034BF">
            <w:pPr>
              <w:spacing w:before="60" w:after="0" w:line="240" w:lineRule="auto"/>
              <w:jc w:val="both"/>
              <w:rPr>
                <w:rFonts w:ascii="Times New Roman" w:hAnsi="Times New Roman" w:cs="Times New Roman"/>
                <w:b/>
                <w:sz w:val="18"/>
                <w:szCs w:val="18"/>
              </w:rPr>
            </w:pPr>
            <w:r w:rsidRPr="007A3A48">
              <w:rPr>
                <w:rFonts w:ascii="Times New Roman" w:hAnsi="Times New Roman" w:cs="Times New Roman"/>
                <w:b/>
                <w:sz w:val="18"/>
                <w:szCs w:val="18"/>
              </w:rPr>
              <w:t>Latitude</w:t>
            </w:r>
          </w:p>
          <w:p w:rsidR="00DB504F" w:rsidRPr="007A3A48" w:rsidRDefault="00DB504F" w:rsidP="00D4341F">
            <w:pPr>
              <w:spacing w:after="0" w:line="240" w:lineRule="auto"/>
              <w:rPr>
                <w:rFonts w:ascii="Times New Roman" w:hAnsi="Times New Roman" w:cs="Times New Roman"/>
                <w:b/>
                <w:sz w:val="18"/>
                <w:szCs w:val="18"/>
              </w:rPr>
            </w:pPr>
            <w:r w:rsidRPr="007A3A48">
              <w:rPr>
                <w:rFonts w:ascii="Times New Roman" w:hAnsi="Times New Roman" w:cs="Times New Roman"/>
                <w:b/>
                <w:sz w:val="18"/>
                <w:szCs w:val="18"/>
              </w:rPr>
              <w:t>°</w:t>
            </w:r>
          </w:p>
        </w:tc>
        <w:tc>
          <w:tcPr>
            <w:tcW w:w="1008" w:type="dxa"/>
            <w:tcBorders>
              <w:top w:val="single" w:sz="4" w:space="0" w:color="auto"/>
              <w:bottom w:val="single" w:sz="4" w:space="0" w:color="auto"/>
            </w:tcBorders>
            <w:vAlign w:val="bottom"/>
          </w:tcPr>
          <w:p w:rsidR="00DB504F" w:rsidRPr="007A3A48" w:rsidRDefault="00DB504F" w:rsidP="003034BF">
            <w:pPr>
              <w:spacing w:after="0" w:line="240" w:lineRule="auto"/>
              <w:jc w:val="both"/>
              <w:rPr>
                <w:rFonts w:ascii="Times New Roman" w:hAnsi="Times New Roman" w:cs="Times New Roman"/>
                <w:b/>
                <w:sz w:val="18"/>
                <w:szCs w:val="18"/>
              </w:rPr>
            </w:pPr>
            <w:r w:rsidRPr="007A3A48">
              <w:rPr>
                <w:rFonts w:ascii="Times New Roman" w:hAnsi="Times New Roman" w:cs="Times New Roman"/>
                <w:b/>
                <w:sz w:val="18"/>
                <w:szCs w:val="18"/>
              </w:rPr>
              <w:t>Longitude</w:t>
            </w:r>
          </w:p>
          <w:p w:rsidR="00DB504F" w:rsidRPr="007A3A48" w:rsidRDefault="00DB504F" w:rsidP="003034BF">
            <w:pPr>
              <w:spacing w:after="0" w:line="240" w:lineRule="auto"/>
              <w:jc w:val="both"/>
              <w:rPr>
                <w:rFonts w:ascii="Times New Roman" w:hAnsi="Times New Roman" w:cs="Times New Roman"/>
                <w:b/>
                <w:sz w:val="18"/>
                <w:szCs w:val="18"/>
              </w:rPr>
            </w:pPr>
            <w:r w:rsidRPr="007A3A48">
              <w:rPr>
                <w:rFonts w:ascii="Times New Roman" w:hAnsi="Times New Roman" w:cs="Times New Roman"/>
                <w:b/>
                <w:sz w:val="18"/>
                <w:szCs w:val="18"/>
              </w:rPr>
              <w:t>°</w:t>
            </w:r>
          </w:p>
        </w:tc>
        <w:tc>
          <w:tcPr>
            <w:tcW w:w="720" w:type="dxa"/>
            <w:tcBorders>
              <w:top w:val="single" w:sz="4" w:space="0" w:color="auto"/>
              <w:bottom w:val="single" w:sz="4" w:space="0" w:color="auto"/>
            </w:tcBorders>
            <w:vAlign w:val="bottom"/>
          </w:tcPr>
          <w:p w:rsidR="00DB504F" w:rsidRPr="007A3A48" w:rsidRDefault="00DB504F" w:rsidP="007A3A48">
            <w:pPr>
              <w:spacing w:before="60"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DO           mg/L</w:t>
            </w:r>
          </w:p>
        </w:tc>
        <w:tc>
          <w:tcPr>
            <w:tcW w:w="461" w:type="dxa"/>
            <w:tcBorders>
              <w:top w:val="single" w:sz="4" w:space="0" w:color="auto"/>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pH</w:t>
            </w:r>
          </w:p>
          <w:p w:rsidR="00DB504F" w:rsidRPr="007A3A48" w:rsidRDefault="00DB504F" w:rsidP="007A3A48">
            <w:pPr>
              <w:spacing w:after="0" w:line="240" w:lineRule="auto"/>
              <w:jc w:val="center"/>
              <w:rPr>
                <w:rFonts w:ascii="Times New Roman" w:hAnsi="Times New Roman" w:cs="Times New Roman"/>
                <w:b/>
                <w:sz w:val="18"/>
                <w:szCs w:val="18"/>
              </w:rPr>
            </w:pPr>
          </w:p>
        </w:tc>
        <w:tc>
          <w:tcPr>
            <w:tcW w:w="489" w:type="dxa"/>
            <w:tcBorders>
              <w:top w:val="single" w:sz="4" w:space="0" w:color="auto"/>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°C</w:t>
            </w:r>
          </w:p>
          <w:p w:rsidR="00DB504F" w:rsidRPr="007A3A48" w:rsidRDefault="00DB504F" w:rsidP="007A3A48">
            <w:pPr>
              <w:spacing w:after="0" w:line="240" w:lineRule="auto"/>
              <w:jc w:val="center"/>
              <w:rPr>
                <w:rFonts w:ascii="Times New Roman" w:hAnsi="Times New Roman" w:cs="Times New Roman"/>
                <w:b/>
                <w:sz w:val="18"/>
                <w:szCs w:val="18"/>
              </w:rPr>
            </w:pPr>
          </w:p>
        </w:tc>
        <w:tc>
          <w:tcPr>
            <w:tcW w:w="810" w:type="dxa"/>
            <w:tcBorders>
              <w:top w:val="single" w:sz="4" w:space="0" w:color="auto"/>
              <w:bottom w:val="single" w:sz="4" w:space="0" w:color="auto"/>
            </w:tcBorders>
            <w:vAlign w:val="bottom"/>
          </w:tcPr>
          <w:p w:rsidR="00DB504F" w:rsidRPr="007A3A48" w:rsidRDefault="00DB504F" w:rsidP="007A3A48">
            <w:pPr>
              <w:spacing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Salinity         ppt</w:t>
            </w:r>
          </w:p>
        </w:tc>
        <w:tc>
          <w:tcPr>
            <w:tcW w:w="990" w:type="dxa"/>
            <w:tcBorders>
              <w:top w:val="single" w:sz="4" w:space="0" w:color="auto"/>
              <w:bottom w:val="single" w:sz="4" w:space="0" w:color="auto"/>
            </w:tcBorders>
            <w:vAlign w:val="bottom"/>
          </w:tcPr>
          <w:p w:rsidR="00DB504F" w:rsidRPr="007A3A48" w:rsidRDefault="00DB504F" w:rsidP="007A3A48">
            <w:pPr>
              <w:spacing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Phosphate µM</w:t>
            </w:r>
          </w:p>
        </w:tc>
        <w:tc>
          <w:tcPr>
            <w:tcW w:w="991" w:type="dxa"/>
            <w:tcBorders>
              <w:top w:val="single" w:sz="4" w:space="0" w:color="auto"/>
              <w:bottom w:val="single" w:sz="4" w:space="0" w:color="auto"/>
            </w:tcBorders>
            <w:vAlign w:val="bottom"/>
          </w:tcPr>
          <w:p w:rsidR="00DB504F" w:rsidRPr="007A3A48" w:rsidRDefault="00DB504F" w:rsidP="007A3A48">
            <w:pPr>
              <w:spacing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Ammonia  µM</w:t>
            </w:r>
          </w:p>
        </w:tc>
        <w:tc>
          <w:tcPr>
            <w:tcW w:w="801" w:type="dxa"/>
            <w:tcBorders>
              <w:top w:val="single" w:sz="4" w:space="0" w:color="auto"/>
              <w:bottom w:val="single" w:sz="4" w:space="0" w:color="auto"/>
            </w:tcBorders>
          </w:tcPr>
          <w:p w:rsidR="00DB504F" w:rsidRPr="007A3A48" w:rsidRDefault="00DB504F" w:rsidP="007A3A48">
            <w:pPr>
              <w:spacing w:before="60" w:after="0" w:line="240" w:lineRule="auto"/>
              <w:jc w:val="center"/>
              <w:outlineLvl w:val="0"/>
              <w:rPr>
                <w:rFonts w:ascii="Times New Roman" w:hAnsi="Times New Roman" w:cs="Times New Roman"/>
                <w:b/>
                <w:sz w:val="18"/>
                <w:szCs w:val="18"/>
              </w:rPr>
            </w:pPr>
            <w:r w:rsidRPr="007A3A48">
              <w:rPr>
                <w:rFonts w:ascii="Times New Roman" w:hAnsi="Times New Roman" w:cs="Times New Roman"/>
                <w:b/>
                <w:sz w:val="18"/>
                <w:szCs w:val="18"/>
              </w:rPr>
              <w:t>Nitrate             µM</w:t>
            </w:r>
          </w:p>
        </w:tc>
        <w:tc>
          <w:tcPr>
            <w:tcW w:w="818" w:type="dxa"/>
            <w:tcBorders>
              <w:top w:val="single" w:sz="4" w:space="0" w:color="auto"/>
              <w:bottom w:val="single" w:sz="4" w:space="0" w:color="auto"/>
            </w:tcBorders>
          </w:tcPr>
          <w:p w:rsidR="00DB504F" w:rsidRPr="007A3A48" w:rsidRDefault="00DB504F" w:rsidP="007A3A48">
            <w:pPr>
              <w:spacing w:before="60" w:after="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Nitrite            µM</w:t>
            </w:r>
          </w:p>
        </w:tc>
        <w:tc>
          <w:tcPr>
            <w:tcW w:w="810" w:type="dxa"/>
            <w:tcBorders>
              <w:top w:val="single" w:sz="4" w:space="0" w:color="auto"/>
              <w:bottom w:val="single" w:sz="4" w:space="0" w:color="auto"/>
            </w:tcBorders>
          </w:tcPr>
          <w:p w:rsidR="00DB504F" w:rsidRPr="007A3A48" w:rsidRDefault="00DB504F" w:rsidP="007A3A48">
            <w:pPr>
              <w:spacing w:before="60" w:after="60" w:line="240" w:lineRule="auto"/>
              <w:jc w:val="center"/>
              <w:outlineLvl w:val="0"/>
              <w:rPr>
                <w:rFonts w:ascii="Times New Roman" w:hAnsi="Times New Roman" w:cs="Times New Roman"/>
                <w:b/>
                <w:sz w:val="18"/>
                <w:szCs w:val="18"/>
              </w:rPr>
            </w:pPr>
            <w:r w:rsidRPr="007A3A48">
              <w:rPr>
                <w:rFonts w:ascii="Times New Roman" w:hAnsi="Times New Roman" w:cs="Times New Roman"/>
                <w:b/>
                <w:sz w:val="18"/>
                <w:szCs w:val="18"/>
              </w:rPr>
              <w:t>Radon              Bq/L</w:t>
            </w:r>
          </w:p>
        </w:tc>
      </w:tr>
      <w:tr w:rsidR="00DB504F" w:rsidRPr="007A3A48" w:rsidTr="00D4341F">
        <w:trPr>
          <w:jc w:val="center"/>
        </w:trPr>
        <w:tc>
          <w:tcPr>
            <w:tcW w:w="349" w:type="dxa"/>
            <w:vMerge w:val="restart"/>
            <w:tcBorders>
              <w:top w:val="single" w:sz="4" w:space="0" w:color="auto"/>
            </w:tcBorders>
            <w:textDirection w:val="btLr"/>
          </w:tcPr>
          <w:p w:rsidR="00DB504F" w:rsidRPr="007A3A48" w:rsidRDefault="00DB504F" w:rsidP="003034BF">
            <w:pPr>
              <w:spacing w:after="0" w:line="240" w:lineRule="auto"/>
              <w:ind w:left="113" w:right="113"/>
              <w:jc w:val="both"/>
              <w:rPr>
                <w:rFonts w:ascii="Times New Roman" w:hAnsi="Times New Roman" w:cs="Times New Roman"/>
                <w:b/>
                <w:sz w:val="18"/>
                <w:szCs w:val="18"/>
                <w:vertAlign w:val="superscript"/>
              </w:rPr>
            </w:pPr>
            <w:r w:rsidRPr="007A3A48">
              <w:rPr>
                <w:rFonts w:ascii="Times New Roman" w:hAnsi="Times New Roman" w:cs="Times New Roman"/>
                <w:b/>
                <w:sz w:val="18"/>
                <w:szCs w:val="18"/>
                <w:vertAlign w:val="superscript"/>
              </w:rPr>
              <w:t>Ular River, January 2015</w:t>
            </w:r>
          </w:p>
        </w:tc>
        <w:tc>
          <w:tcPr>
            <w:tcW w:w="604" w:type="dxa"/>
            <w:tcBorders>
              <w:top w:val="single" w:sz="4" w:space="0" w:color="auto"/>
            </w:tcBorders>
            <w:vAlign w:val="bottom"/>
          </w:tcPr>
          <w:p w:rsidR="00DB504F" w:rsidRPr="007A3A48" w:rsidRDefault="00DB504F" w:rsidP="00D4341F">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F1</w:t>
            </w:r>
          </w:p>
        </w:tc>
        <w:tc>
          <w:tcPr>
            <w:tcW w:w="1008" w:type="dxa"/>
            <w:tcBorders>
              <w:top w:val="single" w:sz="4" w:space="0" w:color="auto"/>
            </w:tcBorders>
            <w:vAlign w:val="bottom"/>
          </w:tcPr>
          <w:p w:rsidR="00DB504F" w:rsidRPr="007A3A48" w:rsidRDefault="00DB504F" w:rsidP="00D4341F">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5.67878</w:t>
            </w:r>
          </w:p>
        </w:tc>
        <w:tc>
          <w:tcPr>
            <w:tcW w:w="1008" w:type="dxa"/>
            <w:tcBorders>
              <w:top w:val="single" w:sz="4" w:space="0" w:color="auto"/>
            </w:tcBorders>
            <w:vAlign w:val="bottom"/>
          </w:tcPr>
          <w:p w:rsidR="00DB504F" w:rsidRPr="007A3A48" w:rsidRDefault="00DB504F" w:rsidP="00D4341F">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102.71206</w:t>
            </w:r>
          </w:p>
        </w:tc>
        <w:tc>
          <w:tcPr>
            <w:tcW w:w="72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4.67</w:t>
            </w:r>
          </w:p>
        </w:tc>
        <w:tc>
          <w:tcPr>
            <w:tcW w:w="461"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7.51</w:t>
            </w:r>
          </w:p>
        </w:tc>
        <w:tc>
          <w:tcPr>
            <w:tcW w:w="489"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26.9</w:t>
            </w:r>
          </w:p>
        </w:tc>
        <w:tc>
          <w:tcPr>
            <w:tcW w:w="81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1.75</w:t>
            </w:r>
          </w:p>
        </w:tc>
        <w:tc>
          <w:tcPr>
            <w:tcW w:w="99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1"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4.05</w:t>
            </w:r>
          </w:p>
        </w:tc>
        <w:tc>
          <w:tcPr>
            <w:tcW w:w="801"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40.9</w:t>
            </w:r>
          </w:p>
        </w:tc>
        <w:tc>
          <w:tcPr>
            <w:tcW w:w="818"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0.71</w:t>
            </w:r>
          </w:p>
        </w:tc>
        <w:tc>
          <w:tcPr>
            <w:tcW w:w="81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0.47</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F2</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5.67789</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102.71294</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4.02</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6.10</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27.1</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0.34</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4.35</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36.4</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0.71</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0.42</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F3</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5.67647</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102.71317</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3.73</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5.99</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27.3</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0.31</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4.08</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5.01</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0.79</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0.48</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F4</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5.67600</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102.71314</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3.66</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5.97</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27.6</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0.32</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3.85</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43.4</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0.64</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F5</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5.67306</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102.71472</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3.68</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5.91</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28.6</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0.08</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3.69</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4.75</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0.82</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0.49</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F6</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5.67092</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102.71472</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3.53</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5.59</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29.2</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3.78</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6.44</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0.85</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0.47</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F7</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5.66933</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102.71397</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3.35</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5.57</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29.7</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3.82</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44.1</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0.74</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0.54</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F8</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5.66881</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102.71383</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3.39</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5.65</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29.6</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4.87</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2.73</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0.84</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0.58</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F9</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5.66903</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102.71106</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3.43</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5.57</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29.6</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4.13</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7.93</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0.86</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F10</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5.66792</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102.70772</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3.42</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5.40</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27.1</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2.77</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30.43</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0.43</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1.51</w:t>
            </w:r>
          </w:p>
        </w:tc>
      </w:tr>
      <w:tr w:rsidR="00DB504F" w:rsidRPr="007A3A48" w:rsidTr="007A3A48">
        <w:trPr>
          <w:jc w:val="center"/>
        </w:trPr>
        <w:tc>
          <w:tcPr>
            <w:tcW w:w="349" w:type="dxa"/>
            <w:vMerge/>
            <w:tcBorders>
              <w:bottom w:val="single" w:sz="4" w:space="0" w:color="auto"/>
            </w:tcBorders>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tcBorders>
              <w:bottom w:val="single" w:sz="4" w:space="0" w:color="auto"/>
            </w:tcBorders>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F11</w:t>
            </w:r>
          </w:p>
        </w:tc>
        <w:tc>
          <w:tcPr>
            <w:tcW w:w="1008" w:type="dxa"/>
            <w:tcBorders>
              <w:bottom w:val="single" w:sz="4" w:space="0" w:color="auto"/>
            </w:tcBorders>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5.66825</w:t>
            </w:r>
          </w:p>
        </w:tc>
        <w:tc>
          <w:tcPr>
            <w:tcW w:w="1008" w:type="dxa"/>
            <w:tcBorders>
              <w:bottom w:val="single" w:sz="4" w:space="0" w:color="auto"/>
            </w:tcBorders>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102.70769</w:t>
            </w:r>
          </w:p>
        </w:tc>
        <w:tc>
          <w:tcPr>
            <w:tcW w:w="72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3.34</w:t>
            </w:r>
          </w:p>
        </w:tc>
        <w:tc>
          <w:tcPr>
            <w:tcW w:w="461"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5.49</w:t>
            </w:r>
          </w:p>
        </w:tc>
        <w:tc>
          <w:tcPr>
            <w:tcW w:w="489"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30.0</w:t>
            </w:r>
          </w:p>
        </w:tc>
        <w:tc>
          <w:tcPr>
            <w:tcW w:w="81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0.01</w:t>
            </w:r>
          </w:p>
        </w:tc>
        <w:tc>
          <w:tcPr>
            <w:tcW w:w="99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4.25</w:t>
            </w:r>
          </w:p>
        </w:tc>
        <w:tc>
          <w:tcPr>
            <w:tcW w:w="801"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0.86</w:t>
            </w:r>
          </w:p>
        </w:tc>
        <w:tc>
          <w:tcPr>
            <w:tcW w:w="818"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0.79</w:t>
            </w:r>
          </w:p>
        </w:tc>
        <w:tc>
          <w:tcPr>
            <w:tcW w:w="81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r>
      <w:tr w:rsidR="00DB504F" w:rsidRPr="007A3A48" w:rsidTr="007A3A48">
        <w:trPr>
          <w:jc w:val="center"/>
        </w:trPr>
        <w:tc>
          <w:tcPr>
            <w:tcW w:w="349" w:type="dxa"/>
            <w:vMerge w:val="restart"/>
            <w:tcBorders>
              <w:top w:val="single" w:sz="4" w:space="0" w:color="auto"/>
            </w:tcBorders>
            <w:textDirection w:val="btLr"/>
          </w:tcPr>
          <w:p w:rsidR="00DB504F" w:rsidRPr="007A3A48" w:rsidRDefault="00DB504F" w:rsidP="003034BF">
            <w:pPr>
              <w:spacing w:after="0" w:line="240" w:lineRule="auto"/>
              <w:ind w:left="113" w:right="113"/>
              <w:jc w:val="both"/>
              <w:rPr>
                <w:rFonts w:ascii="Times New Roman" w:hAnsi="Times New Roman" w:cs="Times New Roman"/>
                <w:b/>
                <w:sz w:val="18"/>
                <w:szCs w:val="18"/>
                <w:vertAlign w:val="superscript"/>
              </w:rPr>
            </w:pPr>
            <w:r w:rsidRPr="007A3A48">
              <w:rPr>
                <w:rFonts w:ascii="Times New Roman" w:hAnsi="Times New Roman" w:cs="Times New Roman"/>
                <w:b/>
                <w:sz w:val="18"/>
                <w:szCs w:val="18"/>
                <w:vertAlign w:val="superscript"/>
              </w:rPr>
              <w:t>Ular River, March 2015</w:t>
            </w:r>
          </w:p>
        </w:tc>
        <w:tc>
          <w:tcPr>
            <w:tcW w:w="604" w:type="dxa"/>
            <w:tcBorders>
              <w:top w:val="single" w:sz="4" w:space="0" w:color="auto"/>
            </w:tcBorders>
            <w:vAlign w:val="bottom"/>
          </w:tcPr>
          <w:p w:rsidR="00DB504F" w:rsidRPr="00286802" w:rsidRDefault="00DB504F" w:rsidP="00D4341F">
            <w:pPr>
              <w:spacing w:before="60"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S1</w:t>
            </w:r>
          </w:p>
        </w:tc>
        <w:tc>
          <w:tcPr>
            <w:tcW w:w="1008" w:type="dxa"/>
            <w:tcBorders>
              <w:top w:val="single" w:sz="4" w:space="0" w:color="auto"/>
            </w:tcBorders>
            <w:vAlign w:val="bottom"/>
          </w:tcPr>
          <w:p w:rsidR="00DB504F" w:rsidRPr="00286802" w:rsidRDefault="00DB504F" w:rsidP="00D4341F">
            <w:pPr>
              <w:spacing w:before="60"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5.67875</w:t>
            </w:r>
          </w:p>
        </w:tc>
        <w:tc>
          <w:tcPr>
            <w:tcW w:w="1008" w:type="dxa"/>
            <w:tcBorders>
              <w:top w:val="single" w:sz="4" w:space="0" w:color="auto"/>
            </w:tcBorders>
            <w:vAlign w:val="bottom"/>
          </w:tcPr>
          <w:p w:rsidR="00DB504F" w:rsidRPr="00286802" w:rsidRDefault="00DB504F" w:rsidP="00D4341F">
            <w:pPr>
              <w:spacing w:before="60"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102.71257</w:t>
            </w:r>
          </w:p>
        </w:tc>
        <w:tc>
          <w:tcPr>
            <w:tcW w:w="720"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5.96</w:t>
            </w:r>
          </w:p>
        </w:tc>
        <w:tc>
          <w:tcPr>
            <w:tcW w:w="461"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6.80</w:t>
            </w:r>
          </w:p>
        </w:tc>
        <w:tc>
          <w:tcPr>
            <w:tcW w:w="489"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31.8</w:t>
            </w:r>
          </w:p>
        </w:tc>
        <w:tc>
          <w:tcPr>
            <w:tcW w:w="810"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33.1</w:t>
            </w:r>
          </w:p>
        </w:tc>
        <w:tc>
          <w:tcPr>
            <w:tcW w:w="990"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0.06</w:t>
            </w:r>
          </w:p>
        </w:tc>
        <w:tc>
          <w:tcPr>
            <w:tcW w:w="991"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1.07</w:t>
            </w:r>
          </w:p>
        </w:tc>
        <w:tc>
          <w:tcPr>
            <w:tcW w:w="801"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3.00</w:t>
            </w:r>
          </w:p>
        </w:tc>
        <w:tc>
          <w:tcPr>
            <w:tcW w:w="818"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0.93</w:t>
            </w:r>
          </w:p>
        </w:tc>
        <w:tc>
          <w:tcPr>
            <w:tcW w:w="810" w:type="dxa"/>
            <w:tcBorders>
              <w:top w:val="single" w:sz="4" w:space="0" w:color="auto"/>
            </w:tcBorders>
            <w:vAlign w:val="bottom"/>
          </w:tcPr>
          <w:p w:rsidR="00DB504F" w:rsidRPr="00286802" w:rsidRDefault="00DB504F" w:rsidP="00D4341F">
            <w:pPr>
              <w:spacing w:before="60"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0.10</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S2</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5.67788</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102.71298</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2.81</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7.94</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33.9</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26.5</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0.03</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1.95</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3.43</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3.29</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0.22</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S3</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5.67647</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102.71317</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4.25</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7.66</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32.1</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26.4</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1.52</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1.57</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4.86</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0.28</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S4</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5.67573</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102.71342</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3.55</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7.58</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33.2</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22.2</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1.72</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1.00</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N/A</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S5</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5.67418</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102.71457</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5.46</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7.90</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33.5</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17.4</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2.50</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7.00</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0.64</w:t>
            </w:r>
          </w:p>
        </w:tc>
        <w:tc>
          <w:tcPr>
            <w:tcW w:w="810" w:type="dxa"/>
          </w:tcPr>
          <w:p w:rsidR="00DB504F" w:rsidRPr="00286802" w:rsidRDefault="00DB504F" w:rsidP="007A3A48">
            <w:pPr>
              <w:spacing w:after="0" w:line="240" w:lineRule="auto"/>
              <w:jc w:val="center"/>
              <w:rPr>
                <w:rFonts w:ascii="Times New Roman" w:hAnsi="Times New Roman" w:cs="Times New Roman"/>
                <w:sz w:val="18"/>
                <w:szCs w:val="18"/>
              </w:rPr>
            </w:pPr>
            <w:r w:rsidRPr="00286802">
              <w:rPr>
                <w:rFonts w:ascii="Times New Roman" w:hAnsi="Times New Roman" w:cs="Times New Roman"/>
                <w:sz w:val="18"/>
                <w:szCs w:val="18"/>
                <w:vertAlign w:val="superscript"/>
              </w:rPr>
              <w:t>N/A</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S6</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5.67367</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102.71500</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4.43</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7.49</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33.5</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7.53</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1.91</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3.00</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5.14</w:t>
            </w:r>
          </w:p>
        </w:tc>
        <w:tc>
          <w:tcPr>
            <w:tcW w:w="810" w:type="dxa"/>
          </w:tcPr>
          <w:p w:rsidR="00DB504F" w:rsidRPr="00286802" w:rsidRDefault="00DB504F" w:rsidP="007A3A48">
            <w:pPr>
              <w:spacing w:after="0" w:line="240" w:lineRule="auto"/>
              <w:jc w:val="center"/>
              <w:rPr>
                <w:rFonts w:ascii="Times New Roman" w:hAnsi="Times New Roman" w:cs="Times New Roman"/>
                <w:sz w:val="18"/>
                <w:szCs w:val="18"/>
              </w:rPr>
            </w:pPr>
            <w:r w:rsidRPr="00286802">
              <w:rPr>
                <w:rFonts w:ascii="Times New Roman" w:hAnsi="Times New Roman" w:cs="Times New Roman"/>
                <w:sz w:val="18"/>
                <w:szCs w:val="18"/>
                <w:vertAlign w:val="superscript"/>
              </w:rPr>
              <w:t>N/A</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S7</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5.67343</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102.71485</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4.65</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7.48</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33.3</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14.7</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1.72</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5.36</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0.71</w:t>
            </w:r>
          </w:p>
        </w:tc>
        <w:tc>
          <w:tcPr>
            <w:tcW w:w="810" w:type="dxa"/>
          </w:tcPr>
          <w:p w:rsidR="00DB504F" w:rsidRPr="00286802" w:rsidRDefault="00DB504F" w:rsidP="007A3A48">
            <w:pPr>
              <w:spacing w:after="0" w:line="240" w:lineRule="auto"/>
              <w:jc w:val="center"/>
              <w:rPr>
                <w:rFonts w:ascii="Times New Roman" w:hAnsi="Times New Roman" w:cs="Times New Roman"/>
                <w:sz w:val="18"/>
                <w:szCs w:val="18"/>
              </w:rPr>
            </w:pPr>
            <w:r w:rsidRPr="00286802">
              <w:rPr>
                <w:rFonts w:ascii="Times New Roman" w:hAnsi="Times New Roman" w:cs="Times New Roman"/>
                <w:sz w:val="18"/>
                <w:szCs w:val="18"/>
                <w:vertAlign w:val="superscript"/>
              </w:rPr>
              <w:t>N/A</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S8</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5.67306</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102.71472</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5.30</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7.84</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32.8</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2.27</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1.97</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3.64</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0.79</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0.21</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S9</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5.67248</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102.71477</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6.62</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7.71</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33.3</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0.02</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2.00</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4.07</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0.64</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0.26</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S10</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5.66908</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102.71472</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6.00</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8.47</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35.3</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0.03</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2.06</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3.07</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0.79</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0.21</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S11</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5.66903</w:t>
            </w:r>
          </w:p>
        </w:tc>
        <w:tc>
          <w:tcPr>
            <w:tcW w:w="1008" w:type="dxa"/>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102.71106</w:t>
            </w:r>
          </w:p>
        </w:tc>
        <w:tc>
          <w:tcPr>
            <w:tcW w:w="72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7.06</w:t>
            </w:r>
          </w:p>
        </w:tc>
        <w:tc>
          <w:tcPr>
            <w:tcW w:w="46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9.32</w:t>
            </w:r>
          </w:p>
        </w:tc>
        <w:tc>
          <w:tcPr>
            <w:tcW w:w="489"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35.4</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0.03</w:t>
            </w:r>
          </w:p>
        </w:tc>
        <w:tc>
          <w:tcPr>
            <w:tcW w:w="99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2.00</w:t>
            </w:r>
          </w:p>
        </w:tc>
        <w:tc>
          <w:tcPr>
            <w:tcW w:w="801"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6.21</w:t>
            </w:r>
          </w:p>
        </w:tc>
        <w:tc>
          <w:tcPr>
            <w:tcW w:w="818"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0.86</w:t>
            </w:r>
          </w:p>
        </w:tc>
        <w:tc>
          <w:tcPr>
            <w:tcW w:w="810" w:type="dxa"/>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0.29</w:t>
            </w:r>
          </w:p>
        </w:tc>
      </w:tr>
      <w:tr w:rsidR="00DB504F" w:rsidRPr="007A3A48" w:rsidTr="007A3A48">
        <w:trPr>
          <w:jc w:val="center"/>
        </w:trPr>
        <w:tc>
          <w:tcPr>
            <w:tcW w:w="349" w:type="dxa"/>
            <w:vMerge/>
            <w:tcBorders>
              <w:bottom w:val="single" w:sz="4" w:space="0" w:color="auto"/>
            </w:tcBorders>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tcBorders>
              <w:bottom w:val="single" w:sz="4" w:space="0" w:color="auto"/>
            </w:tcBorders>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S12</w:t>
            </w:r>
          </w:p>
        </w:tc>
        <w:tc>
          <w:tcPr>
            <w:tcW w:w="1008" w:type="dxa"/>
            <w:tcBorders>
              <w:bottom w:val="single" w:sz="4" w:space="0" w:color="auto"/>
            </w:tcBorders>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5.66758</w:t>
            </w:r>
          </w:p>
        </w:tc>
        <w:tc>
          <w:tcPr>
            <w:tcW w:w="1008" w:type="dxa"/>
            <w:tcBorders>
              <w:bottom w:val="single" w:sz="4" w:space="0" w:color="auto"/>
            </w:tcBorders>
            <w:vAlign w:val="bottom"/>
          </w:tcPr>
          <w:p w:rsidR="00DB504F" w:rsidRPr="00286802" w:rsidRDefault="00DB504F" w:rsidP="003034B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102.70770</w:t>
            </w:r>
          </w:p>
        </w:tc>
        <w:tc>
          <w:tcPr>
            <w:tcW w:w="720"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6.91</w:t>
            </w:r>
          </w:p>
        </w:tc>
        <w:tc>
          <w:tcPr>
            <w:tcW w:w="461"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8.12</w:t>
            </w:r>
          </w:p>
        </w:tc>
        <w:tc>
          <w:tcPr>
            <w:tcW w:w="489"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33.0</w:t>
            </w:r>
          </w:p>
        </w:tc>
        <w:tc>
          <w:tcPr>
            <w:tcW w:w="810"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0.03</w:t>
            </w:r>
          </w:p>
        </w:tc>
        <w:tc>
          <w:tcPr>
            <w:tcW w:w="990"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991"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0.04</w:t>
            </w:r>
          </w:p>
        </w:tc>
        <w:tc>
          <w:tcPr>
            <w:tcW w:w="801"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11.6</w:t>
            </w:r>
          </w:p>
        </w:tc>
        <w:tc>
          <w:tcPr>
            <w:tcW w:w="818"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0.99</w:t>
            </w:r>
          </w:p>
        </w:tc>
        <w:tc>
          <w:tcPr>
            <w:tcW w:w="810" w:type="dxa"/>
            <w:tcBorders>
              <w:bottom w:val="single" w:sz="4" w:space="0" w:color="auto"/>
            </w:tcBorders>
            <w:vAlign w:val="bottom"/>
          </w:tcPr>
          <w:p w:rsidR="00DB504F" w:rsidRPr="00286802" w:rsidRDefault="00DB504F" w:rsidP="007A3A48">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0.42</w:t>
            </w:r>
          </w:p>
        </w:tc>
      </w:tr>
      <w:tr w:rsidR="00DB504F" w:rsidRPr="007A3A48" w:rsidTr="007A3A48">
        <w:trPr>
          <w:jc w:val="center"/>
        </w:trPr>
        <w:tc>
          <w:tcPr>
            <w:tcW w:w="349" w:type="dxa"/>
            <w:vMerge w:val="restart"/>
            <w:tcBorders>
              <w:top w:val="single" w:sz="4" w:space="0" w:color="auto"/>
            </w:tcBorders>
            <w:textDirection w:val="btLr"/>
          </w:tcPr>
          <w:p w:rsidR="00DB504F" w:rsidRPr="007A3A48" w:rsidRDefault="00DB504F" w:rsidP="003034BF">
            <w:pPr>
              <w:spacing w:after="0" w:line="240" w:lineRule="auto"/>
              <w:ind w:left="113" w:right="113"/>
              <w:jc w:val="both"/>
              <w:rPr>
                <w:rFonts w:ascii="Times New Roman" w:hAnsi="Times New Roman" w:cs="Times New Roman"/>
                <w:b/>
                <w:sz w:val="18"/>
                <w:szCs w:val="18"/>
                <w:vertAlign w:val="superscript"/>
              </w:rPr>
            </w:pPr>
            <w:r w:rsidRPr="007A3A48">
              <w:rPr>
                <w:rFonts w:ascii="Times New Roman" w:hAnsi="Times New Roman" w:cs="Times New Roman"/>
                <w:b/>
                <w:sz w:val="18"/>
                <w:szCs w:val="18"/>
                <w:vertAlign w:val="superscript"/>
              </w:rPr>
              <w:t>Ular River, May 2016</w:t>
            </w:r>
          </w:p>
        </w:tc>
        <w:tc>
          <w:tcPr>
            <w:tcW w:w="604" w:type="dxa"/>
            <w:tcBorders>
              <w:top w:val="single" w:sz="4" w:space="0" w:color="auto"/>
            </w:tcBorders>
            <w:vAlign w:val="bottom"/>
          </w:tcPr>
          <w:p w:rsidR="00DB504F" w:rsidRPr="007A3A48" w:rsidRDefault="00DB504F" w:rsidP="00D4341F">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G1</w:t>
            </w:r>
          </w:p>
        </w:tc>
        <w:tc>
          <w:tcPr>
            <w:tcW w:w="1008" w:type="dxa"/>
            <w:tcBorders>
              <w:top w:val="single" w:sz="4" w:space="0" w:color="auto"/>
            </w:tcBorders>
            <w:vAlign w:val="bottom"/>
          </w:tcPr>
          <w:p w:rsidR="00DB504F" w:rsidRPr="007A3A48" w:rsidRDefault="00DB504F" w:rsidP="00D4341F">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5.67852</w:t>
            </w:r>
          </w:p>
        </w:tc>
        <w:tc>
          <w:tcPr>
            <w:tcW w:w="1008" w:type="dxa"/>
            <w:tcBorders>
              <w:top w:val="single" w:sz="4" w:space="0" w:color="auto"/>
            </w:tcBorders>
            <w:vAlign w:val="bottom"/>
          </w:tcPr>
          <w:p w:rsidR="00DB504F" w:rsidRPr="007A3A48" w:rsidRDefault="00DB504F" w:rsidP="00D4341F">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102.71234</w:t>
            </w:r>
          </w:p>
        </w:tc>
        <w:tc>
          <w:tcPr>
            <w:tcW w:w="72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1.79</w:t>
            </w:r>
          </w:p>
        </w:tc>
        <w:tc>
          <w:tcPr>
            <w:tcW w:w="461"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7.22</w:t>
            </w:r>
          </w:p>
        </w:tc>
        <w:tc>
          <w:tcPr>
            <w:tcW w:w="489"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33.1</w:t>
            </w:r>
          </w:p>
        </w:tc>
        <w:tc>
          <w:tcPr>
            <w:tcW w:w="81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27.7</w:t>
            </w:r>
          </w:p>
        </w:tc>
        <w:tc>
          <w:tcPr>
            <w:tcW w:w="99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8.43</w:t>
            </w:r>
          </w:p>
        </w:tc>
        <w:tc>
          <w:tcPr>
            <w:tcW w:w="801"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1.39</w:t>
            </w:r>
          </w:p>
        </w:tc>
        <w:tc>
          <w:tcPr>
            <w:tcW w:w="818"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0.04</w:t>
            </w:r>
          </w:p>
        </w:tc>
        <w:tc>
          <w:tcPr>
            <w:tcW w:w="810" w:type="dxa"/>
            <w:tcBorders>
              <w:top w:val="single" w:sz="4" w:space="0" w:color="auto"/>
            </w:tcBorders>
            <w:vAlign w:val="bottom"/>
          </w:tcPr>
          <w:p w:rsidR="00DB504F" w:rsidRPr="007A3A48" w:rsidRDefault="00DB504F" w:rsidP="00D4341F">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0.09</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G2</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5.67228</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102.71456</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5.34</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6.86</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31.1</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5.27</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4.03</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0.66</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0.05</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G3</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5.66834</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102.71395</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4.31</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7.42</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33.6</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21.1</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3.40</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0.54</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0.09</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0.05</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G4</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5.66806</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102.71206</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2.47</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5.86</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31.1</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0.21</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4.53</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2.69</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0.08</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0.09</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G5</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5.66828</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102.70960</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6.06</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5.90</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31.6</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4.25</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0.84</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0.15</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0.11</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G6</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5.66754</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102.70719</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3.48</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5.16</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30.3</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0.29</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0.14</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0.11</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0.19</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G7</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5.66857</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102.70468</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7.46</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6.39</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34.0</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12.3</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0.39</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0.13</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0.12</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G8</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5.67118</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102.70133</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6.67</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5.81</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34.2</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14.2</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1.99</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0.21</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G9</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5.66888</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102.70164</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2.55</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4.16</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30.8</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3.93</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1.27</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0.09</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0.20</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G10</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5.67400</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102.69916</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5.05</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5.27</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32.8</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15.6</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0.12</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0.05</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0.20</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G11</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5.67659</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102.69529</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3.30</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4.56</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32.2</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16.1</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0.93</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0.37</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G12</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5.67782</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102.69531</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3.20</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5.34</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30.8</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0.05</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27.2</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0.09</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0.13</w:t>
            </w:r>
          </w:p>
        </w:tc>
      </w:tr>
      <w:tr w:rsidR="00DB504F" w:rsidRPr="007A3A48" w:rsidTr="007A3A48">
        <w:trPr>
          <w:jc w:val="center"/>
        </w:trPr>
        <w:tc>
          <w:tcPr>
            <w:tcW w:w="349" w:type="dxa"/>
            <w:vMerge/>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G13</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5.66819</w:t>
            </w:r>
          </w:p>
        </w:tc>
        <w:tc>
          <w:tcPr>
            <w:tcW w:w="1008" w:type="dxa"/>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102.71607</w:t>
            </w:r>
          </w:p>
        </w:tc>
        <w:tc>
          <w:tcPr>
            <w:tcW w:w="72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1.89</w:t>
            </w:r>
          </w:p>
        </w:tc>
        <w:tc>
          <w:tcPr>
            <w:tcW w:w="46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6.88</w:t>
            </w:r>
          </w:p>
        </w:tc>
        <w:tc>
          <w:tcPr>
            <w:tcW w:w="489"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33.3</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9.96</w:t>
            </w:r>
          </w:p>
        </w:tc>
        <w:tc>
          <w:tcPr>
            <w:tcW w:w="801"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0.65</w:t>
            </w:r>
          </w:p>
        </w:tc>
        <w:tc>
          <w:tcPr>
            <w:tcW w:w="818"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0.10</w:t>
            </w:r>
          </w:p>
        </w:tc>
        <w:tc>
          <w:tcPr>
            <w:tcW w:w="810" w:type="dxa"/>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r>
      <w:tr w:rsidR="00DB504F" w:rsidRPr="007A3A48" w:rsidTr="0027164D">
        <w:trPr>
          <w:jc w:val="center"/>
        </w:trPr>
        <w:tc>
          <w:tcPr>
            <w:tcW w:w="349" w:type="dxa"/>
            <w:vMerge/>
            <w:tcBorders>
              <w:bottom w:val="single" w:sz="4" w:space="0" w:color="auto"/>
            </w:tcBorders>
          </w:tcPr>
          <w:p w:rsidR="00DB504F" w:rsidRPr="007A3A48" w:rsidRDefault="00DB504F" w:rsidP="003034BF">
            <w:pPr>
              <w:spacing w:after="0" w:line="240" w:lineRule="auto"/>
              <w:jc w:val="both"/>
              <w:rPr>
                <w:rFonts w:ascii="Times New Roman" w:hAnsi="Times New Roman" w:cs="Times New Roman"/>
                <w:sz w:val="18"/>
                <w:szCs w:val="18"/>
                <w:vertAlign w:val="superscript"/>
              </w:rPr>
            </w:pPr>
          </w:p>
        </w:tc>
        <w:tc>
          <w:tcPr>
            <w:tcW w:w="604" w:type="dxa"/>
            <w:tcBorders>
              <w:bottom w:val="single" w:sz="4" w:space="0" w:color="auto"/>
            </w:tcBorders>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G14</w:t>
            </w:r>
          </w:p>
        </w:tc>
        <w:tc>
          <w:tcPr>
            <w:tcW w:w="1008" w:type="dxa"/>
            <w:tcBorders>
              <w:bottom w:val="single" w:sz="4" w:space="0" w:color="auto"/>
            </w:tcBorders>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5.66941</w:t>
            </w:r>
          </w:p>
        </w:tc>
        <w:tc>
          <w:tcPr>
            <w:tcW w:w="1008" w:type="dxa"/>
            <w:tcBorders>
              <w:bottom w:val="single" w:sz="4" w:space="0" w:color="auto"/>
            </w:tcBorders>
            <w:vAlign w:val="bottom"/>
          </w:tcPr>
          <w:p w:rsidR="00DB504F" w:rsidRPr="007A3A48" w:rsidRDefault="00DB504F" w:rsidP="003034BF">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102.71164</w:t>
            </w:r>
          </w:p>
        </w:tc>
        <w:tc>
          <w:tcPr>
            <w:tcW w:w="72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7.13</w:t>
            </w:r>
          </w:p>
        </w:tc>
        <w:tc>
          <w:tcPr>
            <w:tcW w:w="461"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6.06</w:t>
            </w:r>
          </w:p>
        </w:tc>
        <w:tc>
          <w:tcPr>
            <w:tcW w:w="489"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31.2</w:t>
            </w:r>
          </w:p>
        </w:tc>
        <w:tc>
          <w:tcPr>
            <w:tcW w:w="81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991"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801"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0.93</w:t>
            </w:r>
          </w:p>
        </w:tc>
        <w:tc>
          <w:tcPr>
            <w:tcW w:w="818"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0.15</w:t>
            </w:r>
          </w:p>
        </w:tc>
        <w:tc>
          <w:tcPr>
            <w:tcW w:w="810" w:type="dxa"/>
            <w:tcBorders>
              <w:bottom w:val="single" w:sz="4" w:space="0" w:color="auto"/>
            </w:tcBorders>
            <w:vAlign w:val="bottom"/>
          </w:tcPr>
          <w:p w:rsidR="00DB504F" w:rsidRPr="007A3A48" w:rsidRDefault="00DB504F" w:rsidP="007A3A48">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r>
      <w:tr w:rsidR="00DB504F" w:rsidRPr="007A3A48" w:rsidTr="00F57AA2">
        <w:trPr>
          <w:trHeight w:val="242"/>
          <w:jc w:val="center"/>
        </w:trPr>
        <w:tc>
          <w:tcPr>
            <w:tcW w:w="349" w:type="dxa"/>
            <w:vMerge w:val="restart"/>
            <w:tcBorders>
              <w:top w:val="single" w:sz="4" w:space="0" w:color="auto"/>
              <w:bottom w:val="single" w:sz="4" w:space="0" w:color="auto"/>
            </w:tcBorders>
            <w:textDirection w:val="btLr"/>
          </w:tcPr>
          <w:p w:rsidR="00DB504F" w:rsidRPr="007A3A48" w:rsidRDefault="00DB504F" w:rsidP="003034BF">
            <w:pPr>
              <w:spacing w:after="0" w:line="240" w:lineRule="auto"/>
              <w:ind w:left="113" w:right="113"/>
              <w:jc w:val="both"/>
              <w:outlineLvl w:val="0"/>
              <w:rPr>
                <w:rFonts w:ascii="Times New Roman" w:hAnsi="Times New Roman" w:cs="Times New Roman"/>
                <w:b/>
                <w:sz w:val="18"/>
                <w:szCs w:val="18"/>
                <w:vertAlign w:val="subscript"/>
              </w:rPr>
            </w:pPr>
            <w:r w:rsidRPr="007A3A48">
              <w:rPr>
                <w:rFonts w:ascii="Times New Roman" w:hAnsi="Times New Roman" w:cs="Times New Roman"/>
                <w:b/>
                <w:sz w:val="18"/>
                <w:szCs w:val="18"/>
                <w:vertAlign w:val="subscript"/>
              </w:rPr>
              <w:t>Lake</w:t>
            </w:r>
          </w:p>
        </w:tc>
        <w:tc>
          <w:tcPr>
            <w:tcW w:w="604" w:type="dxa"/>
            <w:tcBorders>
              <w:top w:val="single" w:sz="4" w:space="0" w:color="auto"/>
            </w:tcBorders>
          </w:tcPr>
          <w:p w:rsidR="00DB504F" w:rsidRPr="00286802" w:rsidRDefault="00DB504F" w:rsidP="00286802">
            <w:pPr>
              <w:spacing w:before="60" w:after="0" w:line="240" w:lineRule="auto"/>
              <w:jc w:val="both"/>
              <w:outlineLvl w:val="0"/>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H1</w:t>
            </w:r>
          </w:p>
        </w:tc>
        <w:tc>
          <w:tcPr>
            <w:tcW w:w="1008" w:type="dxa"/>
            <w:tcBorders>
              <w:top w:val="single" w:sz="4" w:space="0" w:color="auto"/>
            </w:tcBorders>
            <w:vAlign w:val="bottom"/>
          </w:tcPr>
          <w:p w:rsidR="00DB504F" w:rsidRPr="00286802" w:rsidRDefault="00DB504F" w:rsidP="00D4341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5.67581</w:t>
            </w:r>
          </w:p>
        </w:tc>
        <w:tc>
          <w:tcPr>
            <w:tcW w:w="1008" w:type="dxa"/>
            <w:tcBorders>
              <w:top w:val="single" w:sz="4" w:space="0" w:color="auto"/>
            </w:tcBorders>
            <w:vAlign w:val="bottom"/>
          </w:tcPr>
          <w:p w:rsidR="00DB504F" w:rsidRPr="00286802" w:rsidRDefault="00DB504F" w:rsidP="00D4341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102.69409</w:t>
            </w:r>
          </w:p>
        </w:tc>
        <w:tc>
          <w:tcPr>
            <w:tcW w:w="720"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2.51</w:t>
            </w:r>
          </w:p>
        </w:tc>
        <w:tc>
          <w:tcPr>
            <w:tcW w:w="461"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5.33</w:t>
            </w:r>
          </w:p>
        </w:tc>
        <w:tc>
          <w:tcPr>
            <w:tcW w:w="489"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27.7</w:t>
            </w:r>
          </w:p>
        </w:tc>
        <w:tc>
          <w:tcPr>
            <w:tcW w:w="810"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0.01</w:t>
            </w:r>
          </w:p>
        </w:tc>
        <w:tc>
          <w:tcPr>
            <w:tcW w:w="990"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N/A</w:t>
            </w:r>
          </w:p>
        </w:tc>
        <w:tc>
          <w:tcPr>
            <w:tcW w:w="991"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801"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1.69</w:t>
            </w:r>
          </w:p>
        </w:tc>
        <w:tc>
          <w:tcPr>
            <w:tcW w:w="818"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0.26</w:t>
            </w:r>
          </w:p>
        </w:tc>
        <w:tc>
          <w:tcPr>
            <w:tcW w:w="810" w:type="dxa"/>
            <w:tcBorders>
              <w:top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1.90</w:t>
            </w:r>
          </w:p>
        </w:tc>
      </w:tr>
      <w:tr w:rsidR="00DB504F" w:rsidRPr="007A3A48" w:rsidTr="0027164D">
        <w:trPr>
          <w:jc w:val="center"/>
        </w:trPr>
        <w:tc>
          <w:tcPr>
            <w:tcW w:w="349" w:type="dxa"/>
            <w:vMerge/>
            <w:tcBorders>
              <w:top w:val="single" w:sz="4" w:space="0" w:color="auto"/>
              <w:bottom w:val="single" w:sz="4" w:space="0" w:color="auto"/>
            </w:tcBorders>
          </w:tcPr>
          <w:p w:rsidR="00DB504F" w:rsidRPr="007A3A48" w:rsidRDefault="00DB504F" w:rsidP="003034BF">
            <w:pPr>
              <w:spacing w:after="0" w:line="240" w:lineRule="auto"/>
              <w:jc w:val="both"/>
              <w:outlineLvl w:val="0"/>
              <w:rPr>
                <w:rFonts w:ascii="Times New Roman" w:hAnsi="Times New Roman" w:cs="Times New Roman"/>
                <w:sz w:val="18"/>
                <w:szCs w:val="18"/>
                <w:vertAlign w:val="subscript"/>
              </w:rPr>
            </w:pPr>
          </w:p>
        </w:tc>
        <w:tc>
          <w:tcPr>
            <w:tcW w:w="604" w:type="dxa"/>
          </w:tcPr>
          <w:p w:rsidR="00DB504F" w:rsidRPr="00286802" w:rsidRDefault="00DB504F" w:rsidP="00286802">
            <w:pPr>
              <w:spacing w:after="0" w:line="240" w:lineRule="auto"/>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H2</w:t>
            </w:r>
          </w:p>
        </w:tc>
        <w:tc>
          <w:tcPr>
            <w:tcW w:w="1008" w:type="dxa"/>
            <w:vAlign w:val="bottom"/>
          </w:tcPr>
          <w:p w:rsidR="00DB504F" w:rsidRPr="00286802" w:rsidRDefault="00DB504F" w:rsidP="00D4341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5.67614</w:t>
            </w:r>
          </w:p>
        </w:tc>
        <w:tc>
          <w:tcPr>
            <w:tcW w:w="1008" w:type="dxa"/>
            <w:vAlign w:val="bottom"/>
          </w:tcPr>
          <w:p w:rsidR="00DB504F" w:rsidRPr="00286802" w:rsidRDefault="00DB504F" w:rsidP="00D4341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102.69494</w:t>
            </w:r>
          </w:p>
        </w:tc>
        <w:tc>
          <w:tcPr>
            <w:tcW w:w="720"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4.48</w:t>
            </w:r>
          </w:p>
        </w:tc>
        <w:tc>
          <w:tcPr>
            <w:tcW w:w="461"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5.66</w:t>
            </w:r>
          </w:p>
        </w:tc>
        <w:tc>
          <w:tcPr>
            <w:tcW w:w="489"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29.0</w:t>
            </w:r>
          </w:p>
        </w:tc>
        <w:tc>
          <w:tcPr>
            <w:tcW w:w="810"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0.01</w:t>
            </w:r>
          </w:p>
        </w:tc>
        <w:tc>
          <w:tcPr>
            <w:tcW w:w="990"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N/A</w:t>
            </w:r>
          </w:p>
        </w:tc>
        <w:tc>
          <w:tcPr>
            <w:tcW w:w="991"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&lt;LOD</w:t>
            </w:r>
          </w:p>
        </w:tc>
        <w:tc>
          <w:tcPr>
            <w:tcW w:w="801"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5.86</w:t>
            </w:r>
          </w:p>
        </w:tc>
        <w:tc>
          <w:tcPr>
            <w:tcW w:w="818"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0.23</w:t>
            </w:r>
          </w:p>
        </w:tc>
        <w:tc>
          <w:tcPr>
            <w:tcW w:w="810" w:type="dxa"/>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0.35</w:t>
            </w:r>
          </w:p>
        </w:tc>
      </w:tr>
      <w:tr w:rsidR="00DB504F" w:rsidRPr="007A3A48" w:rsidTr="0027164D">
        <w:trPr>
          <w:jc w:val="center"/>
        </w:trPr>
        <w:tc>
          <w:tcPr>
            <w:tcW w:w="349" w:type="dxa"/>
            <w:vMerge/>
            <w:tcBorders>
              <w:top w:val="single" w:sz="4" w:space="0" w:color="auto"/>
              <w:bottom w:val="single" w:sz="4" w:space="0" w:color="auto"/>
            </w:tcBorders>
          </w:tcPr>
          <w:p w:rsidR="00DB504F" w:rsidRPr="007A3A48" w:rsidRDefault="00DB504F" w:rsidP="003034BF">
            <w:pPr>
              <w:spacing w:after="0" w:line="240" w:lineRule="auto"/>
              <w:jc w:val="both"/>
              <w:outlineLvl w:val="0"/>
              <w:rPr>
                <w:rFonts w:ascii="Times New Roman" w:hAnsi="Times New Roman" w:cs="Times New Roman"/>
                <w:sz w:val="18"/>
                <w:szCs w:val="18"/>
                <w:vertAlign w:val="subscript"/>
              </w:rPr>
            </w:pPr>
          </w:p>
        </w:tc>
        <w:tc>
          <w:tcPr>
            <w:tcW w:w="604" w:type="dxa"/>
            <w:tcBorders>
              <w:bottom w:val="single" w:sz="4" w:space="0" w:color="auto"/>
            </w:tcBorders>
          </w:tcPr>
          <w:p w:rsidR="00DB504F" w:rsidRPr="00286802" w:rsidRDefault="00DB504F" w:rsidP="00D4341F">
            <w:pPr>
              <w:spacing w:after="0" w:line="240" w:lineRule="auto"/>
              <w:jc w:val="both"/>
              <w:outlineLvl w:val="0"/>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H3</w:t>
            </w:r>
          </w:p>
        </w:tc>
        <w:tc>
          <w:tcPr>
            <w:tcW w:w="1008" w:type="dxa"/>
            <w:tcBorders>
              <w:bottom w:val="single" w:sz="4" w:space="0" w:color="auto"/>
            </w:tcBorders>
            <w:vAlign w:val="bottom"/>
          </w:tcPr>
          <w:p w:rsidR="00DB504F" w:rsidRPr="00286802" w:rsidRDefault="00DB504F" w:rsidP="00D4341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5.67581</w:t>
            </w:r>
          </w:p>
        </w:tc>
        <w:tc>
          <w:tcPr>
            <w:tcW w:w="1008" w:type="dxa"/>
            <w:tcBorders>
              <w:bottom w:val="single" w:sz="4" w:space="0" w:color="auto"/>
            </w:tcBorders>
            <w:vAlign w:val="bottom"/>
          </w:tcPr>
          <w:p w:rsidR="00DB504F" w:rsidRPr="00286802" w:rsidRDefault="00DB504F" w:rsidP="00D4341F">
            <w:pPr>
              <w:spacing w:after="0" w:line="240" w:lineRule="auto"/>
              <w:jc w:val="both"/>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102.69409</w:t>
            </w:r>
          </w:p>
        </w:tc>
        <w:tc>
          <w:tcPr>
            <w:tcW w:w="720"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4.30</w:t>
            </w:r>
          </w:p>
        </w:tc>
        <w:tc>
          <w:tcPr>
            <w:tcW w:w="461"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5.78</w:t>
            </w:r>
          </w:p>
        </w:tc>
        <w:tc>
          <w:tcPr>
            <w:tcW w:w="489"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29.6</w:t>
            </w:r>
          </w:p>
        </w:tc>
        <w:tc>
          <w:tcPr>
            <w:tcW w:w="810"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0.01</w:t>
            </w:r>
          </w:p>
        </w:tc>
        <w:tc>
          <w:tcPr>
            <w:tcW w:w="990"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N/A</w:t>
            </w:r>
          </w:p>
        </w:tc>
        <w:tc>
          <w:tcPr>
            <w:tcW w:w="991"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16.0</w:t>
            </w:r>
          </w:p>
        </w:tc>
        <w:tc>
          <w:tcPr>
            <w:tcW w:w="801"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0.72</w:t>
            </w:r>
          </w:p>
        </w:tc>
        <w:tc>
          <w:tcPr>
            <w:tcW w:w="818"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0.26</w:t>
            </w:r>
          </w:p>
        </w:tc>
        <w:tc>
          <w:tcPr>
            <w:tcW w:w="810" w:type="dxa"/>
            <w:tcBorders>
              <w:bottom w:val="single" w:sz="4" w:space="0" w:color="auto"/>
            </w:tcBorders>
            <w:vAlign w:val="bottom"/>
          </w:tcPr>
          <w:p w:rsidR="00DB504F" w:rsidRPr="00286802" w:rsidRDefault="00DB504F" w:rsidP="00D4341F">
            <w:pPr>
              <w:spacing w:after="0" w:line="240" w:lineRule="auto"/>
              <w:jc w:val="center"/>
              <w:rPr>
                <w:rFonts w:ascii="Times New Roman" w:hAnsi="Times New Roman" w:cs="Times New Roman"/>
                <w:sz w:val="18"/>
                <w:szCs w:val="18"/>
                <w:vertAlign w:val="superscript"/>
              </w:rPr>
            </w:pPr>
            <w:r w:rsidRPr="00286802">
              <w:rPr>
                <w:rFonts w:ascii="Times New Roman" w:hAnsi="Times New Roman" w:cs="Times New Roman"/>
                <w:sz w:val="18"/>
                <w:szCs w:val="18"/>
                <w:vertAlign w:val="superscript"/>
              </w:rPr>
              <w:t>0.11</w:t>
            </w:r>
          </w:p>
        </w:tc>
      </w:tr>
    </w:tbl>
    <w:p w:rsidR="00FA3FCB" w:rsidRPr="00993611" w:rsidRDefault="00FA3FCB" w:rsidP="00286802">
      <w:pPr>
        <w:spacing w:before="60" w:after="0" w:line="240" w:lineRule="auto"/>
        <w:jc w:val="both"/>
        <w:outlineLvl w:val="0"/>
        <w:rPr>
          <w:rFonts w:ascii="Times New Roman" w:hAnsi="Times New Roman"/>
          <w:sz w:val="18"/>
          <w:szCs w:val="18"/>
        </w:rPr>
      </w:pPr>
    </w:p>
    <w:p w:rsidR="00C312E8" w:rsidRPr="00DB504F" w:rsidRDefault="00C312E8" w:rsidP="00C312E8">
      <w:pPr>
        <w:tabs>
          <w:tab w:val="center" w:pos="4513"/>
        </w:tabs>
        <w:spacing w:after="120" w:line="240" w:lineRule="auto"/>
        <w:jc w:val="center"/>
        <w:outlineLvl w:val="0"/>
        <w:rPr>
          <w:rFonts w:ascii="Times New Roman" w:hAnsi="Times New Roman"/>
          <w:iCs/>
          <w:sz w:val="20"/>
          <w:szCs w:val="20"/>
        </w:rPr>
      </w:pPr>
      <w:r w:rsidRPr="00DB504F">
        <w:rPr>
          <w:rFonts w:ascii="Times New Roman" w:hAnsi="Times New Roman"/>
          <w:iCs/>
          <w:sz w:val="20"/>
          <w:szCs w:val="20"/>
        </w:rPr>
        <w:t>Table 1</w:t>
      </w:r>
      <w:r>
        <w:rPr>
          <w:rFonts w:ascii="Times New Roman" w:hAnsi="Times New Roman"/>
          <w:iCs/>
          <w:sz w:val="20"/>
          <w:szCs w:val="20"/>
        </w:rPr>
        <w:t xml:space="preserve"> (cont’d)</w:t>
      </w:r>
      <w:r w:rsidRPr="00DB504F">
        <w:rPr>
          <w:rFonts w:ascii="Times New Roman" w:hAnsi="Times New Roman"/>
          <w:iCs/>
          <w:sz w:val="20"/>
          <w:szCs w:val="20"/>
        </w:rPr>
        <w:t xml:space="preserve">. </w:t>
      </w:r>
      <w:r>
        <w:rPr>
          <w:rFonts w:ascii="Times New Roman" w:hAnsi="Times New Roman"/>
          <w:iCs/>
          <w:sz w:val="20"/>
          <w:szCs w:val="20"/>
        </w:rPr>
        <w:t xml:space="preserve"> </w:t>
      </w:r>
      <w:r w:rsidRPr="00DB504F">
        <w:rPr>
          <w:rFonts w:ascii="Times New Roman" w:hAnsi="Times New Roman"/>
          <w:iCs/>
          <w:sz w:val="20"/>
          <w:szCs w:val="20"/>
        </w:rPr>
        <w:t>Physicochemical and nutrient data for both surface and groundwater</w:t>
      </w:r>
    </w:p>
    <w:tbl>
      <w:tblPr>
        <w:tblStyle w:val="TableGrid"/>
        <w:tblW w:w="98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9"/>
        <w:gridCol w:w="604"/>
        <w:gridCol w:w="1008"/>
        <w:gridCol w:w="1008"/>
        <w:gridCol w:w="720"/>
        <w:gridCol w:w="461"/>
        <w:gridCol w:w="489"/>
        <w:gridCol w:w="810"/>
        <w:gridCol w:w="990"/>
        <w:gridCol w:w="991"/>
        <w:gridCol w:w="801"/>
        <w:gridCol w:w="818"/>
        <w:gridCol w:w="810"/>
      </w:tblGrid>
      <w:tr w:rsidR="00C312E8" w:rsidRPr="007A3A48" w:rsidTr="003D78A0">
        <w:trPr>
          <w:jc w:val="center"/>
        </w:trPr>
        <w:tc>
          <w:tcPr>
            <w:tcW w:w="349" w:type="dxa"/>
            <w:tcBorders>
              <w:top w:val="single" w:sz="4" w:space="0" w:color="auto"/>
              <w:bottom w:val="single" w:sz="4" w:space="0" w:color="auto"/>
            </w:tcBorders>
          </w:tcPr>
          <w:p w:rsidR="00C312E8" w:rsidRPr="007A3A48" w:rsidRDefault="00C312E8" w:rsidP="003D78A0">
            <w:pPr>
              <w:spacing w:after="0" w:line="240" w:lineRule="auto"/>
              <w:jc w:val="both"/>
              <w:outlineLvl w:val="0"/>
              <w:rPr>
                <w:rFonts w:ascii="Times New Roman" w:hAnsi="Times New Roman" w:cs="Times New Roman"/>
                <w:b/>
                <w:sz w:val="18"/>
                <w:szCs w:val="18"/>
              </w:rPr>
            </w:pPr>
          </w:p>
        </w:tc>
        <w:tc>
          <w:tcPr>
            <w:tcW w:w="604" w:type="dxa"/>
            <w:tcBorders>
              <w:top w:val="single" w:sz="4" w:space="0" w:color="auto"/>
              <w:bottom w:val="single" w:sz="4" w:space="0" w:color="auto"/>
            </w:tcBorders>
          </w:tcPr>
          <w:p w:rsidR="00C312E8" w:rsidRPr="007A3A48" w:rsidRDefault="00C312E8" w:rsidP="003D78A0">
            <w:pPr>
              <w:spacing w:before="60" w:after="0" w:line="240" w:lineRule="auto"/>
              <w:jc w:val="both"/>
              <w:outlineLvl w:val="0"/>
              <w:rPr>
                <w:rFonts w:ascii="Times New Roman" w:hAnsi="Times New Roman" w:cs="Times New Roman"/>
                <w:b/>
                <w:sz w:val="18"/>
                <w:szCs w:val="18"/>
              </w:rPr>
            </w:pPr>
            <w:r w:rsidRPr="007A3A48">
              <w:rPr>
                <w:rFonts w:ascii="Times New Roman" w:hAnsi="Times New Roman" w:cs="Times New Roman"/>
                <w:b/>
                <w:sz w:val="18"/>
                <w:szCs w:val="18"/>
              </w:rPr>
              <w:t>Site</w:t>
            </w:r>
          </w:p>
        </w:tc>
        <w:tc>
          <w:tcPr>
            <w:tcW w:w="1008" w:type="dxa"/>
            <w:tcBorders>
              <w:top w:val="single" w:sz="4" w:space="0" w:color="auto"/>
              <w:bottom w:val="single" w:sz="4" w:space="0" w:color="auto"/>
            </w:tcBorders>
            <w:vAlign w:val="bottom"/>
          </w:tcPr>
          <w:p w:rsidR="00C312E8" w:rsidRPr="007A3A48" w:rsidRDefault="00C312E8" w:rsidP="003D78A0">
            <w:pPr>
              <w:spacing w:before="60" w:after="0" w:line="240" w:lineRule="auto"/>
              <w:jc w:val="both"/>
              <w:rPr>
                <w:rFonts w:ascii="Times New Roman" w:hAnsi="Times New Roman" w:cs="Times New Roman"/>
                <w:b/>
                <w:sz w:val="18"/>
                <w:szCs w:val="18"/>
              </w:rPr>
            </w:pPr>
            <w:r w:rsidRPr="007A3A48">
              <w:rPr>
                <w:rFonts w:ascii="Times New Roman" w:hAnsi="Times New Roman" w:cs="Times New Roman"/>
                <w:b/>
                <w:sz w:val="18"/>
                <w:szCs w:val="18"/>
              </w:rPr>
              <w:t>Latitude</w:t>
            </w:r>
          </w:p>
          <w:p w:rsidR="00C312E8" w:rsidRPr="007A3A48" w:rsidRDefault="00C312E8" w:rsidP="003D78A0">
            <w:pPr>
              <w:spacing w:after="0" w:line="240" w:lineRule="auto"/>
              <w:rPr>
                <w:rFonts w:ascii="Times New Roman" w:hAnsi="Times New Roman" w:cs="Times New Roman"/>
                <w:b/>
                <w:sz w:val="18"/>
                <w:szCs w:val="18"/>
              </w:rPr>
            </w:pPr>
            <w:r w:rsidRPr="007A3A48">
              <w:rPr>
                <w:rFonts w:ascii="Times New Roman" w:hAnsi="Times New Roman" w:cs="Times New Roman"/>
                <w:b/>
                <w:sz w:val="18"/>
                <w:szCs w:val="18"/>
              </w:rPr>
              <w:t>°</w:t>
            </w:r>
          </w:p>
        </w:tc>
        <w:tc>
          <w:tcPr>
            <w:tcW w:w="1008" w:type="dxa"/>
            <w:tcBorders>
              <w:top w:val="single" w:sz="4" w:space="0" w:color="auto"/>
              <w:bottom w:val="single" w:sz="4" w:space="0" w:color="auto"/>
            </w:tcBorders>
            <w:vAlign w:val="bottom"/>
          </w:tcPr>
          <w:p w:rsidR="00C312E8" w:rsidRPr="007A3A48" w:rsidRDefault="00C312E8" w:rsidP="003D78A0">
            <w:pPr>
              <w:spacing w:after="0" w:line="240" w:lineRule="auto"/>
              <w:jc w:val="both"/>
              <w:rPr>
                <w:rFonts w:ascii="Times New Roman" w:hAnsi="Times New Roman" w:cs="Times New Roman"/>
                <w:b/>
                <w:sz w:val="18"/>
                <w:szCs w:val="18"/>
              </w:rPr>
            </w:pPr>
            <w:r w:rsidRPr="007A3A48">
              <w:rPr>
                <w:rFonts w:ascii="Times New Roman" w:hAnsi="Times New Roman" w:cs="Times New Roman"/>
                <w:b/>
                <w:sz w:val="18"/>
                <w:szCs w:val="18"/>
              </w:rPr>
              <w:t>Longitude</w:t>
            </w:r>
          </w:p>
          <w:p w:rsidR="00C312E8" w:rsidRPr="007A3A48" w:rsidRDefault="00C312E8" w:rsidP="003D78A0">
            <w:pPr>
              <w:spacing w:after="0" w:line="240" w:lineRule="auto"/>
              <w:jc w:val="both"/>
              <w:rPr>
                <w:rFonts w:ascii="Times New Roman" w:hAnsi="Times New Roman" w:cs="Times New Roman"/>
                <w:b/>
                <w:sz w:val="18"/>
                <w:szCs w:val="18"/>
              </w:rPr>
            </w:pPr>
            <w:r w:rsidRPr="007A3A48">
              <w:rPr>
                <w:rFonts w:ascii="Times New Roman" w:hAnsi="Times New Roman" w:cs="Times New Roman"/>
                <w:b/>
                <w:sz w:val="18"/>
                <w:szCs w:val="18"/>
              </w:rPr>
              <w:t>°</w:t>
            </w:r>
          </w:p>
        </w:tc>
        <w:tc>
          <w:tcPr>
            <w:tcW w:w="720" w:type="dxa"/>
            <w:tcBorders>
              <w:top w:val="single" w:sz="4" w:space="0" w:color="auto"/>
              <w:bottom w:val="single" w:sz="4" w:space="0" w:color="auto"/>
            </w:tcBorders>
            <w:vAlign w:val="bottom"/>
          </w:tcPr>
          <w:p w:rsidR="00C312E8" w:rsidRPr="007A3A48" w:rsidRDefault="00C312E8" w:rsidP="003D78A0">
            <w:pPr>
              <w:spacing w:before="60"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DO           mg/L</w:t>
            </w:r>
          </w:p>
        </w:tc>
        <w:tc>
          <w:tcPr>
            <w:tcW w:w="461" w:type="dxa"/>
            <w:tcBorders>
              <w:top w:val="single" w:sz="4" w:space="0" w:color="auto"/>
              <w:bottom w:val="single" w:sz="4" w:space="0" w:color="auto"/>
            </w:tcBorders>
            <w:vAlign w:val="bottom"/>
          </w:tcPr>
          <w:p w:rsidR="00C312E8" w:rsidRPr="007A3A48" w:rsidRDefault="00C312E8" w:rsidP="003D78A0">
            <w:pPr>
              <w:spacing w:after="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pH</w:t>
            </w:r>
          </w:p>
          <w:p w:rsidR="00C312E8" w:rsidRPr="007A3A48" w:rsidRDefault="00C312E8" w:rsidP="003D78A0">
            <w:pPr>
              <w:spacing w:after="0" w:line="240" w:lineRule="auto"/>
              <w:jc w:val="center"/>
              <w:rPr>
                <w:rFonts w:ascii="Times New Roman" w:hAnsi="Times New Roman" w:cs="Times New Roman"/>
                <w:b/>
                <w:sz w:val="18"/>
                <w:szCs w:val="18"/>
              </w:rPr>
            </w:pPr>
          </w:p>
        </w:tc>
        <w:tc>
          <w:tcPr>
            <w:tcW w:w="489" w:type="dxa"/>
            <w:tcBorders>
              <w:top w:val="single" w:sz="4" w:space="0" w:color="auto"/>
              <w:bottom w:val="single" w:sz="4" w:space="0" w:color="auto"/>
            </w:tcBorders>
            <w:vAlign w:val="bottom"/>
          </w:tcPr>
          <w:p w:rsidR="00C312E8" w:rsidRPr="007A3A48" w:rsidRDefault="00C312E8" w:rsidP="003D78A0">
            <w:pPr>
              <w:spacing w:after="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°C</w:t>
            </w:r>
          </w:p>
          <w:p w:rsidR="00C312E8" w:rsidRPr="007A3A48" w:rsidRDefault="00C312E8" w:rsidP="003D78A0">
            <w:pPr>
              <w:spacing w:after="0" w:line="240" w:lineRule="auto"/>
              <w:jc w:val="center"/>
              <w:rPr>
                <w:rFonts w:ascii="Times New Roman" w:hAnsi="Times New Roman" w:cs="Times New Roman"/>
                <w:b/>
                <w:sz w:val="18"/>
                <w:szCs w:val="18"/>
              </w:rPr>
            </w:pPr>
          </w:p>
        </w:tc>
        <w:tc>
          <w:tcPr>
            <w:tcW w:w="810" w:type="dxa"/>
            <w:tcBorders>
              <w:top w:val="single" w:sz="4" w:space="0" w:color="auto"/>
              <w:bottom w:val="single" w:sz="4" w:space="0" w:color="auto"/>
            </w:tcBorders>
            <w:vAlign w:val="bottom"/>
          </w:tcPr>
          <w:p w:rsidR="00C312E8" w:rsidRPr="007A3A48" w:rsidRDefault="00C312E8" w:rsidP="003D78A0">
            <w:pPr>
              <w:spacing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Salinity         ppt</w:t>
            </w:r>
          </w:p>
        </w:tc>
        <w:tc>
          <w:tcPr>
            <w:tcW w:w="990" w:type="dxa"/>
            <w:tcBorders>
              <w:top w:val="single" w:sz="4" w:space="0" w:color="auto"/>
              <w:bottom w:val="single" w:sz="4" w:space="0" w:color="auto"/>
            </w:tcBorders>
            <w:vAlign w:val="bottom"/>
          </w:tcPr>
          <w:p w:rsidR="00C312E8" w:rsidRPr="007A3A48" w:rsidRDefault="00C312E8" w:rsidP="003D78A0">
            <w:pPr>
              <w:spacing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Phosphate µM</w:t>
            </w:r>
          </w:p>
        </w:tc>
        <w:tc>
          <w:tcPr>
            <w:tcW w:w="991" w:type="dxa"/>
            <w:tcBorders>
              <w:top w:val="single" w:sz="4" w:space="0" w:color="auto"/>
              <w:bottom w:val="single" w:sz="4" w:space="0" w:color="auto"/>
            </w:tcBorders>
            <w:vAlign w:val="bottom"/>
          </w:tcPr>
          <w:p w:rsidR="00C312E8" w:rsidRPr="007A3A48" w:rsidRDefault="00C312E8" w:rsidP="003D78A0">
            <w:pPr>
              <w:spacing w:after="6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Ammonia  µM</w:t>
            </w:r>
          </w:p>
        </w:tc>
        <w:tc>
          <w:tcPr>
            <w:tcW w:w="801" w:type="dxa"/>
            <w:tcBorders>
              <w:top w:val="single" w:sz="4" w:space="0" w:color="auto"/>
              <w:bottom w:val="single" w:sz="4" w:space="0" w:color="auto"/>
            </w:tcBorders>
          </w:tcPr>
          <w:p w:rsidR="00C312E8" w:rsidRPr="007A3A48" w:rsidRDefault="00C312E8" w:rsidP="003D78A0">
            <w:pPr>
              <w:spacing w:before="60" w:after="0" w:line="240" w:lineRule="auto"/>
              <w:jc w:val="center"/>
              <w:outlineLvl w:val="0"/>
              <w:rPr>
                <w:rFonts w:ascii="Times New Roman" w:hAnsi="Times New Roman" w:cs="Times New Roman"/>
                <w:b/>
                <w:sz w:val="18"/>
                <w:szCs w:val="18"/>
              </w:rPr>
            </w:pPr>
            <w:r w:rsidRPr="007A3A48">
              <w:rPr>
                <w:rFonts w:ascii="Times New Roman" w:hAnsi="Times New Roman" w:cs="Times New Roman"/>
                <w:b/>
                <w:sz w:val="18"/>
                <w:szCs w:val="18"/>
              </w:rPr>
              <w:t>Nitrate             µM</w:t>
            </w:r>
          </w:p>
        </w:tc>
        <w:tc>
          <w:tcPr>
            <w:tcW w:w="818" w:type="dxa"/>
            <w:tcBorders>
              <w:top w:val="single" w:sz="4" w:space="0" w:color="auto"/>
              <w:bottom w:val="single" w:sz="4" w:space="0" w:color="auto"/>
            </w:tcBorders>
          </w:tcPr>
          <w:p w:rsidR="00C312E8" w:rsidRPr="007A3A48" w:rsidRDefault="00C312E8" w:rsidP="003D78A0">
            <w:pPr>
              <w:spacing w:before="60" w:after="0" w:line="240" w:lineRule="auto"/>
              <w:jc w:val="center"/>
              <w:rPr>
                <w:rFonts w:ascii="Times New Roman" w:hAnsi="Times New Roman" w:cs="Times New Roman"/>
                <w:b/>
                <w:sz w:val="18"/>
                <w:szCs w:val="18"/>
              </w:rPr>
            </w:pPr>
            <w:r w:rsidRPr="007A3A48">
              <w:rPr>
                <w:rFonts w:ascii="Times New Roman" w:hAnsi="Times New Roman" w:cs="Times New Roman"/>
                <w:b/>
                <w:sz w:val="18"/>
                <w:szCs w:val="18"/>
              </w:rPr>
              <w:t>Nitrite            µM</w:t>
            </w:r>
          </w:p>
        </w:tc>
        <w:tc>
          <w:tcPr>
            <w:tcW w:w="810" w:type="dxa"/>
            <w:tcBorders>
              <w:top w:val="single" w:sz="4" w:space="0" w:color="auto"/>
              <w:bottom w:val="single" w:sz="4" w:space="0" w:color="auto"/>
            </w:tcBorders>
          </w:tcPr>
          <w:p w:rsidR="00C312E8" w:rsidRPr="007A3A48" w:rsidRDefault="00C312E8" w:rsidP="003D78A0">
            <w:pPr>
              <w:spacing w:before="60" w:after="60" w:line="240" w:lineRule="auto"/>
              <w:jc w:val="center"/>
              <w:outlineLvl w:val="0"/>
              <w:rPr>
                <w:rFonts w:ascii="Times New Roman" w:hAnsi="Times New Roman" w:cs="Times New Roman"/>
                <w:b/>
                <w:sz w:val="18"/>
                <w:szCs w:val="18"/>
              </w:rPr>
            </w:pPr>
            <w:r w:rsidRPr="007A3A48">
              <w:rPr>
                <w:rFonts w:ascii="Times New Roman" w:hAnsi="Times New Roman" w:cs="Times New Roman"/>
                <w:b/>
                <w:sz w:val="18"/>
                <w:szCs w:val="18"/>
              </w:rPr>
              <w:t>Radon              Bq/L</w:t>
            </w:r>
          </w:p>
        </w:tc>
      </w:tr>
      <w:tr w:rsidR="003D78A0" w:rsidRPr="007A3A48" w:rsidTr="0027164D">
        <w:trPr>
          <w:jc w:val="center"/>
        </w:trPr>
        <w:tc>
          <w:tcPr>
            <w:tcW w:w="349" w:type="dxa"/>
            <w:tcBorders>
              <w:top w:val="single" w:sz="4" w:space="0" w:color="auto"/>
            </w:tcBorders>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tcBorders>
              <w:top w:val="single" w:sz="4" w:space="0" w:color="auto"/>
            </w:tcBorders>
            <w:vAlign w:val="bottom"/>
          </w:tcPr>
          <w:p w:rsidR="003D78A0" w:rsidRPr="007A3A48" w:rsidRDefault="003D78A0" w:rsidP="003D78A0">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P1_1</w:t>
            </w:r>
          </w:p>
        </w:tc>
        <w:tc>
          <w:tcPr>
            <w:tcW w:w="1008" w:type="dxa"/>
            <w:tcBorders>
              <w:top w:val="single" w:sz="4" w:space="0" w:color="auto"/>
            </w:tcBorders>
            <w:vAlign w:val="bottom"/>
          </w:tcPr>
          <w:p w:rsidR="003D78A0" w:rsidRPr="007A3A48" w:rsidRDefault="003D78A0" w:rsidP="003D78A0">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5.678597</w:t>
            </w:r>
          </w:p>
        </w:tc>
        <w:tc>
          <w:tcPr>
            <w:tcW w:w="1008" w:type="dxa"/>
            <w:tcBorders>
              <w:top w:val="single" w:sz="4" w:space="0" w:color="auto"/>
            </w:tcBorders>
            <w:vAlign w:val="bottom"/>
          </w:tcPr>
          <w:p w:rsidR="003D78A0" w:rsidRPr="007A3A48" w:rsidRDefault="003D78A0" w:rsidP="003D78A0">
            <w:pPr>
              <w:spacing w:before="60"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102.712228</w:t>
            </w:r>
          </w:p>
        </w:tc>
        <w:tc>
          <w:tcPr>
            <w:tcW w:w="720"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1.38</w:t>
            </w:r>
          </w:p>
        </w:tc>
        <w:tc>
          <w:tcPr>
            <w:tcW w:w="461"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6.82</w:t>
            </w:r>
          </w:p>
        </w:tc>
        <w:tc>
          <w:tcPr>
            <w:tcW w:w="489"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29.0</w:t>
            </w:r>
          </w:p>
        </w:tc>
        <w:tc>
          <w:tcPr>
            <w:tcW w:w="810"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21.1</w:t>
            </w:r>
          </w:p>
        </w:tc>
        <w:tc>
          <w:tcPr>
            <w:tcW w:w="990"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162</w:t>
            </w:r>
          </w:p>
        </w:tc>
        <w:tc>
          <w:tcPr>
            <w:tcW w:w="801"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5.57</w:t>
            </w:r>
          </w:p>
        </w:tc>
        <w:tc>
          <w:tcPr>
            <w:tcW w:w="818"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tcBorders>
              <w:top w:val="single" w:sz="4" w:space="0" w:color="auto"/>
            </w:tcBorders>
            <w:vAlign w:val="bottom"/>
          </w:tcPr>
          <w:p w:rsidR="003D78A0" w:rsidRPr="007A3A48" w:rsidRDefault="003D78A0" w:rsidP="003D78A0">
            <w:pPr>
              <w:spacing w:before="60"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0.64</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P1_2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5.678597</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102.712228</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0.39</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6.72</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29.0</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25.9</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6.71</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1.23</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P2_1</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5.672889</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102.714317</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0.45</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3.74</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3.84</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34.7</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2.93</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0.21</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0.23</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P2_2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5.672889</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102.714317</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0.55</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5.26</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28.6</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4.83</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83.1</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2.36</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0.21</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0.32</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P2_3</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5.672889</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102.714317</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0.63</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5.55</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28.5</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4.86</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119</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5.29</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1.48</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P2_4</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5.672889</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102.714317</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0.57</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5.44</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28.8</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5.01</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148</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12.4</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1.56</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P3_1</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5.668772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102.710153</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0.66</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5.52</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29.5</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47.6</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4.07</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1.16</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P3_2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5.668772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102.710153</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0.34</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5.12</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29.3</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0.03</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37.8</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4.36</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1.09</w:t>
            </w:r>
          </w:p>
        </w:tc>
      </w:tr>
      <w:tr w:rsidR="003D78A0" w:rsidRPr="007A3A48" w:rsidTr="0027164D">
        <w:trPr>
          <w:jc w:val="center"/>
        </w:trPr>
        <w:tc>
          <w:tcPr>
            <w:tcW w:w="349" w:type="dxa"/>
            <w:textDirection w:val="btLr"/>
          </w:tcPr>
          <w:p w:rsidR="003D78A0" w:rsidRPr="007A3A48" w:rsidRDefault="003D78A0" w:rsidP="003D78A0">
            <w:pPr>
              <w:spacing w:after="0" w:line="240" w:lineRule="auto"/>
              <w:ind w:left="113" w:right="113"/>
              <w:jc w:val="both"/>
              <w:rPr>
                <w:rFonts w:ascii="Times New Roman" w:hAnsi="Times New Roman"/>
                <w:b/>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P3_3</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5.668772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102.710153</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0.57</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5.44</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28.8</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5.01</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118</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54.4</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0.36</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1.27</w:t>
            </w:r>
          </w:p>
        </w:tc>
      </w:tr>
      <w:tr w:rsidR="003D78A0" w:rsidRPr="007A3A48" w:rsidTr="0027164D">
        <w:trPr>
          <w:jc w:val="center"/>
        </w:trPr>
        <w:tc>
          <w:tcPr>
            <w:tcW w:w="349" w:type="dxa"/>
            <w:vMerge w:val="restart"/>
            <w:tcBorders>
              <w:bottom w:val="single" w:sz="4" w:space="0" w:color="auto"/>
            </w:tcBorders>
            <w:textDirection w:val="btLr"/>
          </w:tcPr>
          <w:p w:rsidR="003D78A0" w:rsidRPr="007A3A48" w:rsidRDefault="003D78A0" w:rsidP="003D78A0">
            <w:pPr>
              <w:spacing w:after="0" w:line="240" w:lineRule="auto"/>
              <w:ind w:left="113" w:right="113"/>
              <w:jc w:val="both"/>
              <w:rPr>
                <w:rFonts w:ascii="Times New Roman" w:hAnsi="Times New Roman" w:cs="Times New Roman"/>
                <w:b/>
                <w:sz w:val="18"/>
                <w:szCs w:val="18"/>
                <w:vertAlign w:val="superscript"/>
              </w:rPr>
            </w:pPr>
            <w:r w:rsidRPr="007A3A48">
              <w:rPr>
                <w:rFonts w:ascii="Times New Roman" w:hAnsi="Times New Roman" w:cs="Times New Roman"/>
                <w:b/>
                <w:sz w:val="18"/>
                <w:szCs w:val="18"/>
                <w:vertAlign w:val="superscript"/>
              </w:rPr>
              <w:t>Groundwater</w:t>
            </w: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B1_1</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5.672200</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102.716781</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0.66</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5.52</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29.5</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26.3</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9.43</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r>
      <w:tr w:rsidR="003D78A0" w:rsidRPr="007A3A48" w:rsidTr="003D78A0">
        <w:trPr>
          <w:jc w:val="center"/>
        </w:trPr>
        <w:tc>
          <w:tcPr>
            <w:tcW w:w="349" w:type="dxa"/>
            <w:vMerge/>
            <w:tcBorders>
              <w:bottom w:val="single" w:sz="4" w:space="0" w:color="auto"/>
            </w:tcBorders>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B1_2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5.672200</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102.716781</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0.43</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5.64</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28.5</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19.4</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7.29</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1.35</w:t>
            </w:r>
          </w:p>
        </w:tc>
      </w:tr>
      <w:tr w:rsidR="003D78A0" w:rsidRPr="007A3A48" w:rsidTr="003D78A0">
        <w:trPr>
          <w:jc w:val="center"/>
        </w:trPr>
        <w:tc>
          <w:tcPr>
            <w:tcW w:w="349" w:type="dxa"/>
            <w:vMerge/>
            <w:tcBorders>
              <w:bottom w:val="single" w:sz="4" w:space="0" w:color="auto"/>
            </w:tcBorders>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5.672308</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102.716236</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0.45</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3.74</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28.4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3.84</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38.1</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22.1</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r>
      <w:tr w:rsidR="003D78A0" w:rsidRPr="007A3A48" w:rsidTr="003D78A0">
        <w:trPr>
          <w:jc w:val="center"/>
        </w:trPr>
        <w:tc>
          <w:tcPr>
            <w:tcW w:w="349" w:type="dxa"/>
            <w:vMerge/>
            <w:tcBorders>
              <w:bottom w:val="single" w:sz="4" w:space="0" w:color="auto"/>
            </w:tcBorders>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B3</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5.669511</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102.717411</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0.77</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4.35</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29.7</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17.0</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81.0</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0.14</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1.26</w:t>
            </w:r>
          </w:p>
        </w:tc>
      </w:tr>
      <w:tr w:rsidR="003D78A0" w:rsidRPr="007A3A48" w:rsidTr="003D78A0">
        <w:trPr>
          <w:jc w:val="center"/>
        </w:trPr>
        <w:tc>
          <w:tcPr>
            <w:tcW w:w="349" w:type="dxa"/>
            <w:vMerge/>
            <w:tcBorders>
              <w:bottom w:val="single" w:sz="4" w:space="0" w:color="auto"/>
            </w:tcBorders>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6180B" w:rsidRDefault="003D78A0" w:rsidP="003D78A0">
            <w:pPr>
              <w:spacing w:after="0" w:line="240" w:lineRule="auto"/>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B4_1</w:t>
            </w:r>
          </w:p>
        </w:tc>
        <w:tc>
          <w:tcPr>
            <w:tcW w:w="1008" w:type="dxa"/>
            <w:vAlign w:val="bottom"/>
          </w:tcPr>
          <w:p w:rsidR="003D78A0" w:rsidRPr="0076180B" w:rsidRDefault="003D78A0" w:rsidP="003D78A0">
            <w:pPr>
              <w:spacing w:after="0" w:line="240" w:lineRule="auto"/>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5.673775</w:t>
            </w:r>
          </w:p>
        </w:tc>
        <w:tc>
          <w:tcPr>
            <w:tcW w:w="1008" w:type="dxa"/>
            <w:vAlign w:val="bottom"/>
          </w:tcPr>
          <w:p w:rsidR="003D78A0" w:rsidRPr="0076180B" w:rsidRDefault="003D78A0" w:rsidP="003D78A0">
            <w:pPr>
              <w:spacing w:after="0" w:line="240" w:lineRule="auto"/>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102.710578</w:t>
            </w:r>
          </w:p>
        </w:tc>
        <w:tc>
          <w:tcPr>
            <w:tcW w:w="720"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2.38</w:t>
            </w:r>
          </w:p>
        </w:tc>
        <w:tc>
          <w:tcPr>
            <w:tcW w:w="461"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5.37</w:t>
            </w:r>
          </w:p>
        </w:tc>
        <w:tc>
          <w:tcPr>
            <w:tcW w:w="489"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30.1</w:t>
            </w:r>
          </w:p>
        </w:tc>
        <w:tc>
          <w:tcPr>
            <w:tcW w:w="810"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0.02</w:t>
            </w:r>
          </w:p>
        </w:tc>
        <w:tc>
          <w:tcPr>
            <w:tcW w:w="990"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N/A</w:t>
            </w:r>
          </w:p>
        </w:tc>
        <w:tc>
          <w:tcPr>
            <w:tcW w:w="991"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11.5</w:t>
            </w:r>
          </w:p>
        </w:tc>
        <w:tc>
          <w:tcPr>
            <w:tcW w:w="801"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7.64</w:t>
            </w:r>
          </w:p>
        </w:tc>
        <w:tc>
          <w:tcPr>
            <w:tcW w:w="818"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0.07</w:t>
            </w:r>
          </w:p>
        </w:tc>
        <w:tc>
          <w:tcPr>
            <w:tcW w:w="810" w:type="dxa"/>
            <w:vAlign w:val="bottom"/>
          </w:tcPr>
          <w:p w:rsidR="003D78A0" w:rsidRPr="0076180B" w:rsidRDefault="003D78A0" w:rsidP="003D78A0">
            <w:pPr>
              <w:spacing w:after="0" w:line="240" w:lineRule="auto"/>
              <w:jc w:val="center"/>
              <w:rPr>
                <w:rFonts w:ascii="Times New Roman" w:hAnsi="Times New Roman" w:cs="Times New Roman"/>
                <w:sz w:val="18"/>
                <w:szCs w:val="18"/>
                <w:vertAlign w:val="superscript"/>
              </w:rPr>
            </w:pPr>
            <w:r w:rsidRPr="0076180B">
              <w:rPr>
                <w:rFonts w:ascii="Times New Roman" w:hAnsi="Times New Roman" w:cs="Times New Roman"/>
                <w:sz w:val="18"/>
                <w:szCs w:val="18"/>
                <w:vertAlign w:val="superscript"/>
              </w:rPr>
              <w:t>2.78</w:t>
            </w:r>
          </w:p>
        </w:tc>
      </w:tr>
      <w:tr w:rsidR="003D78A0" w:rsidRPr="007A3A48" w:rsidTr="003D78A0">
        <w:trPr>
          <w:jc w:val="center"/>
        </w:trPr>
        <w:tc>
          <w:tcPr>
            <w:tcW w:w="349" w:type="dxa"/>
            <w:vMerge/>
            <w:tcBorders>
              <w:bottom w:val="single" w:sz="4" w:space="0" w:color="auto"/>
            </w:tcBorders>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B4_2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5.673775</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102.710578</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0.52</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5.52</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30.1</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13.1</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8.64</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2.46</w:t>
            </w:r>
          </w:p>
        </w:tc>
      </w:tr>
      <w:tr w:rsidR="003D78A0" w:rsidRPr="007A3A48" w:rsidTr="003D78A0">
        <w:trPr>
          <w:jc w:val="center"/>
        </w:trPr>
        <w:tc>
          <w:tcPr>
            <w:tcW w:w="349" w:type="dxa"/>
            <w:vMerge/>
            <w:tcBorders>
              <w:bottom w:val="single" w:sz="4" w:space="0" w:color="auto"/>
            </w:tcBorders>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B4_3</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5.673775</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102.710578</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3.30</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6.88</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29.8</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0.02</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16.0</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2.21</w:t>
            </w:r>
          </w:p>
        </w:tc>
      </w:tr>
      <w:tr w:rsidR="003D78A0" w:rsidRPr="007A3A48" w:rsidTr="003D78A0">
        <w:trPr>
          <w:jc w:val="center"/>
        </w:trPr>
        <w:tc>
          <w:tcPr>
            <w:tcW w:w="349" w:type="dxa"/>
            <w:vMerge/>
            <w:tcBorders>
              <w:bottom w:val="single" w:sz="4" w:space="0" w:color="auto"/>
            </w:tcBorders>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B5_1</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5.674797</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102.700203</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3.70</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4.60</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29.3</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0.01</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15.1</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35.7</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&lt;LOD</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1.28</w:t>
            </w:r>
          </w:p>
        </w:tc>
      </w:tr>
      <w:tr w:rsidR="003D78A0" w:rsidRPr="007A3A48" w:rsidTr="004F122C">
        <w:trPr>
          <w:jc w:val="center"/>
        </w:trPr>
        <w:tc>
          <w:tcPr>
            <w:tcW w:w="349" w:type="dxa"/>
            <w:vMerge/>
          </w:tcPr>
          <w:p w:rsidR="003D78A0" w:rsidRPr="007A3A48" w:rsidRDefault="003D78A0" w:rsidP="003D78A0">
            <w:pPr>
              <w:spacing w:after="0" w:line="240" w:lineRule="auto"/>
              <w:jc w:val="both"/>
              <w:rPr>
                <w:rFonts w:ascii="Times New Roman" w:hAnsi="Times New Roman" w:cs="Times New Roman"/>
                <w:sz w:val="18"/>
                <w:szCs w:val="18"/>
                <w:vertAlign w:val="superscript"/>
              </w:rPr>
            </w:pPr>
          </w:p>
        </w:tc>
        <w:tc>
          <w:tcPr>
            <w:tcW w:w="604"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B5_2</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5.674797</w:t>
            </w:r>
          </w:p>
        </w:tc>
        <w:tc>
          <w:tcPr>
            <w:tcW w:w="1008" w:type="dxa"/>
            <w:vAlign w:val="bottom"/>
          </w:tcPr>
          <w:p w:rsidR="003D78A0" w:rsidRPr="007A3A48" w:rsidRDefault="003D78A0" w:rsidP="003D78A0">
            <w:pPr>
              <w:spacing w:after="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102.700203</w:t>
            </w:r>
          </w:p>
        </w:tc>
        <w:tc>
          <w:tcPr>
            <w:tcW w:w="72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3.99</w:t>
            </w:r>
          </w:p>
        </w:tc>
        <w:tc>
          <w:tcPr>
            <w:tcW w:w="46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3.78</w:t>
            </w:r>
          </w:p>
        </w:tc>
        <w:tc>
          <w:tcPr>
            <w:tcW w:w="489"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29.5</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0.01</w:t>
            </w:r>
          </w:p>
        </w:tc>
        <w:tc>
          <w:tcPr>
            <w:tcW w:w="99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3.36</w:t>
            </w:r>
          </w:p>
        </w:tc>
        <w:tc>
          <w:tcPr>
            <w:tcW w:w="801"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36.0</w:t>
            </w:r>
          </w:p>
        </w:tc>
        <w:tc>
          <w:tcPr>
            <w:tcW w:w="818"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vAlign w:val="bottom"/>
          </w:tcPr>
          <w:p w:rsidR="003D78A0" w:rsidRPr="007A3A48" w:rsidRDefault="003D78A0" w:rsidP="003D78A0">
            <w:pPr>
              <w:spacing w:after="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1.47</w:t>
            </w:r>
          </w:p>
        </w:tc>
      </w:tr>
      <w:tr w:rsidR="003D78A0" w:rsidRPr="007A3A48" w:rsidTr="004F122C">
        <w:trPr>
          <w:jc w:val="center"/>
        </w:trPr>
        <w:tc>
          <w:tcPr>
            <w:tcW w:w="349" w:type="dxa"/>
            <w:tcBorders>
              <w:bottom w:val="single" w:sz="4" w:space="0" w:color="auto"/>
            </w:tcBorders>
          </w:tcPr>
          <w:p w:rsidR="003D78A0" w:rsidRPr="007A3A48" w:rsidRDefault="003D78A0" w:rsidP="003D78A0">
            <w:pPr>
              <w:spacing w:after="0" w:line="240" w:lineRule="auto"/>
              <w:jc w:val="both"/>
              <w:rPr>
                <w:rFonts w:ascii="Times New Roman" w:hAnsi="Times New Roman"/>
                <w:sz w:val="18"/>
                <w:szCs w:val="18"/>
                <w:vertAlign w:val="superscript"/>
              </w:rPr>
            </w:pPr>
          </w:p>
        </w:tc>
        <w:tc>
          <w:tcPr>
            <w:tcW w:w="604" w:type="dxa"/>
            <w:tcBorders>
              <w:bottom w:val="single" w:sz="4" w:space="0" w:color="auto"/>
            </w:tcBorders>
            <w:vAlign w:val="bottom"/>
          </w:tcPr>
          <w:p w:rsidR="003D78A0" w:rsidRPr="007A3A48" w:rsidRDefault="003D78A0" w:rsidP="003D78A0">
            <w:pPr>
              <w:spacing w:after="6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B5_3</w:t>
            </w:r>
          </w:p>
        </w:tc>
        <w:tc>
          <w:tcPr>
            <w:tcW w:w="1008" w:type="dxa"/>
            <w:tcBorders>
              <w:bottom w:val="single" w:sz="4" w:space="0" w:color="auto"/>
            </w:tcBorders>
            <w:vAlign w:val="bottom"/>
          </w:tcPr>
          <w:p w:rsidR="003D78A0" w:rsidRPr="007A3A48" w:rsidRDefault="003D78A0" w:rsidP="003D78A0">
            <w:pPr>
              <w:spacing w:after="6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5.674797</w:t>
            </w:r>
          </w:p>
        </w:tc>
        <w:tc>
          <w:tcPr>
            <w:tcW w:w="1008" w:type="dxa"/>
            <w:tcBorders>
              <w:bottom w:val="single" w:sz="4" w:space="0" w:color="auto"/>
            </w:tcBorders>
            <w:vAlign w:val="bottom"/>
          </w:tcPr>
          <w:p w:rsidR="003D78A0" w:rsidRPr="007A3A48" w:rsidRDefault="003D78A0" w:rsidP="003D78A0">
            <w:pPr>
              <w:spacing w:after="60" w:line="240" w:lineRule="auto"/>
              <w:jc w:val="both"/>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102.700203</w:t>
            </w:r>
          </w:p>
        </w:tc>
        <w:tc>
          <w:tcPr>
            <w:tcW w:w="720"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3.77</w:t>
            </w:r>
          </w:p>
        </w:tc>
        <w:tc>
          <w:tcPr>
            <w:tcW w:w="461"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4.95</w:t>
            </w:r>
          </w:p>
        </w:tc>
        <w:tc>
          <w:tcPr>
            <w:tcW w:w="489"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29.6</w:t>
            </w:r>
          </w:p>
        </w:tc>
        <w:tc>
          <w:tcPr>
            <w:tcW w:w="810"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0.01</w:t>
            </w:r>
          </w:p>
        </w:tc>
        <w:tc>
          <w:tcPr>
            <w:tcW w:w="990"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N/A</w:t>
            </w:r>
          </w:p>
        </w:tc>
        <w:tc>
          <w:tcPr>
            <w:tcW w:w="991"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6.57</w:t>
            </w:r>
          </w:p>
        </w:tc>
        <w:tc>
          <w:tcPr>
            <w:tcW w:w="801"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67.6</w:t>
            </w:r>
          </w:p>
        </w:tc>
        <w:tc>
          <w:tcPr>
            <w:tcW w:w="818"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0.07</w:t>
            </w:r>
          </w:p>
        </w:tc>
        <w:tc>
          <w:tcPr>
            <w:tcW w:w="810" w:type="dxa"/>
            <w:tcBorders>
              <w:bottom w:val="single" w:sz="4" w:space="0" w:color="auto"/>
            </w:tcBorders>
            <w:vAlign w:val="bottom"/>
          </w:tcPr>
          <w:p w:rsidR="003D78A0" w:rsidRPr="007A3A48" w:rsidRDefault="003D78A0" w:rsidP="003D78A0">
            <w:pPr>
              <w:spacing w:after="60" w:line="240" w:lineRule="auto"/>
              <w:jc w:val="center"/>
              <w:rPr>
                <w:rFonts w:ascii="Times New Roman" w:hAnsi="Times New Roman" w:cs="Times New Roman"/>
                <w:sz w:val="18"/>
                <w:szCs w:val="18"/>
                <w:vertAlign w:val="superscript"/>
              </w:rPr>
            </w:pPr>
            <w:r w:rsidRPr="007A3A48">
              <w:rPr>
                <w:rFonts w:ascii="Times New Roman" w:hAnsi="Times New Roman" w:cs="Times New Roman"/>
                <w:sz w:val="18"/>
                <w:szCs w:val="18"/>
                <w:vertAlign w:val="superscript"/>
              </w:rPr>
              <w:t>1.34</w:t>
            </w:r>
          </w:p>
        </w:tc>
      </w:tr>
    </w:tbl>
    <w:p w:rsidR="00DB504F" w:rsidRPr="004F122C" w:rsidRDefault="004F122C" w:rsidP="001F2925">
      <w:pPr>
        <w:tabs>
          <w:tab w:val="center" w:pos="4513"/>
        </w:tabs>
        <w:spacing w:before="60" w:after="120" w:line="240" w:lineRule="auto"/>
        <w:outlineLvl w:val="0"/>
        <w:rPr>
          <w:rFonts w:ascii="Times New Roman" w:hAnsi="Times New Roman"/>
          <w:iCs/>
          <w:sz w:val="20"/>
          <w:szCs w:val="20"/>
        </w:rPr>
      </w:pPr>
      <w:r w:rsidRPr="00286802">
        <w:rPr>
          <w:rFonts w:ascii="Times New Roman" w:hAnsi="Times New Roman"/>
          <w:sz w:val="18"/>
          <w:szCs w:val="18"/>
          <w:vertAlign w:val="superscript"/>
        </w:rPr>
        <w:t>&lt;LOD: below detection limit; N/A: no measurement</w:t>
      </w:r>
      <w:r w:rsidR="00993611" w:rsidRPr="00DB504F">
        <w:rPr>
          <w:rFonts w:ascii="Times New Roman" w:hAnsi="Times New Roman"/>
          <w:sz w:val="20"/>
          <w:szCs w:val="20"/>
        </w:rPr>
        <w:tab/>
      </w:r>
      <w:r w:rsidR="00DB504F" w:rsidRPr="00DB504F">
        <w:rPr>
          <w:rFonts w:ascii="Times New Roman" w:hAnsi="Times New Roman"/>
          <w:sz w:val="20"/>
          <w:szCs w:val="20"/>
        </w:rPr>
        <w:tab/>
      </w:r>
    </w:p>
    <w:p w:rsidR="004F122C" w:rsidRDefault="004F122C" w:rsidP="00DB504F">
      <w:pPr>
        <w:spacing w:after="0" w:line="240" w:lineRule="auto"/>
        <w:jc w:val="both"/>
        <w:outlineLvl w:val="0"/>
        <w:rPr>
          <w:rFonts w:ascii="Times New Roman" w:hAnsi="Times New Roman"/>
          <w:sz w:val="20"/>
          <w:szCs w:val="20"/>
        </w:rPr>
      </w:pPr>
    </w:p>
    <w:p w:rsidR="00DB504F" w:rsidRPr="00DB504F" w:rsidRDefault="00DB504F" w:rsidP="00DB504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The radon level was found higher at the upstream (Figure 4b and 5) and decreasing in concentration as the water flows downstream. This trend is probably due to significant dilution of radon concentration by the lagoon water at the river mouth, coupled with addition radioactive decay loss of the short half-life of radon during its transport down the river. </w:t>
      </w:r>
    </w:p>
    <w:p w:rsidR="00DB504F" w:rsidRPr="00DB504F" w:rsidRDefault="00DB504F" w:rsidP="00DB504F">
      <w:pPr>
        <w:spacing w:after="0" w:line="240" w:lineRule="auto"/>
        <w:jc w:val="both"/>
        <w:outlineLvl w:val="0"/>
        <w:rPr>
          <w:rFonts w:ascii="Times New Roman" w:hAnsi="Times New Roman"/>
          <w:sz w:val="20"/>
          <w:szCs w:val="20"/>
        </w:rPr>
      </w:pPr>
    </w:p>
    <w:p w:rsidR="00DB504F" w:rsidRPr="00DB504F" w:rsidRDefault="00DB504F" w:rsidP="00DB504F">
      <w:pPr>
        <w:spacing w:after="0" w:line="240" w:lineRule="auto"/>
        <w:jc w:val="both"/>
        <w:outlineLvl w:val="0"/>
        <w:rPr>
          <w:rFonts w:ascii="Times New Roman" w:hAnsi="Times New Roman"/>
          <w:sz w:val="20"/>
          <w:szCs w:val="20"/>
        </w:rPr>
      </w:pPr>
      <w:r w:rsidRPr="00DB504F">
        <w:rPr>
          <w:rFonts w:ascii="Times New Roman" w:hAnsi="Times New Roman"/>
          <w:sz w:val="20"/>
          <w:szCs w:val="20"/>
        </w:rPr>
        <w:t>Ammonium and nitrate concentrations were higher in the post-storm sampling with an average of 3.97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µM and 20.3 NO</w:t>
      </w:r>
      <w:r w:rsidRPr="00DB504F">
        <w:rPr>
          <w:rFonts w:ascii="Times New Roman" w:hAnsi="Times New Roman"/>
          <w:sz w:val="20"/>
          <w:szCs w:val="20"/>
          <w:vertAlign w:val="subscript"/>
        </w:rPr>
        <w:t>3</w:t>
      </w:r>
      <w:r w:rsidRPr="00DB504F">
        <w:rPr>
          <w:rFonts w:ascii="Times New Roman" w:hAnsi="Times New Roman"/>
          <w:sz w:val="20"/>
          <w:szCs w:val="20"/>
          <w:vertAlign w:val="superscript"/>
        </w:rPr>
        <w:t>-</w:t>
      </w:r>
      <w:r w:rsidRPr="00DB504F">
        <w:rPr>
          <w:rFonts w:ascii="Times New Roman" w:hAnsi="Times New Roman"/>
          <w:sz w:val="20"/>
          <w:szCs w:val="20"/>
        </w:rPr>
        <w:t>-N µM than to the dry season condition with 1.71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µM and 4.33 NO</w:t>
      </w:r>
      <w:r w:rsidRPr="00DB504F">
        <w:rPr>
          <w:rFonts w:ascii="Times New Roman" w:hAnsi="Times New Roman"/>
          <w:sz w:val="20"/>
          <w:szCs w:val="20"/>
          <w:vertAlign w:val="subscript"/>
        </w:rPr>
        <w:t>3</w:t>
      </w:r>
      <w:r w:rsidRPr="00DB504F">
        <w:rPr>
          <w:rFonts w:ascii="Times New Roman" w:hAnsi="Times New Roman"/>
          <w:sz w:val="20"/>
          <w:szCs w:val="20"/>
          <w:vertAlign w:val="superscript"/>
        </w:rPr>
        <w:t>-</w:t>
      </w:r>
      <w:r w:rsidRPr="00DB504F">
        <w:rPr>
          <w:rFonts w:ascii="Times New Roman" w:hAnsi="Times New Roman"/>
          <w:sz w:val="20"/>
          <w:szCs w:val="20"/>
        </w:rPr>
        <w:t xml:space="preserve">-N µM recorded, respectively. However, both parameters showed no clear distribution trends in Ular River. Sources of nitrogen in the water body can be derived from agricultural runoff and sewage discharge from the residential area. Since groundwater often contains higher nitrogen concentrations than the surface water. </w:t>
      </w:r>
    </w:p>
    <w:p w:rsidR="00DB504F" w:rsidRPr="00DB504F" w:rsidRDefault="00DB504F" w:rsidP="00DB504F">
      <w:pPr>
        <w:spacing w:after="0" w:line="240" w:lineRule="auto"/>
        <w:jc w:val="both"/>
        <w:outlineLvl w:val="0"/>
        <w:rPr>
          <w:rFonts w:ascii="Times New Roman" w:hAnsi="Times New Roman"/>
          <w:sz w:val="20"/>
          <w:szCs w:val="20"/>
        </w:rPr>
      </w:pPr>
    </w:p>
    <w:p w:rsidR="00DB504F" w:rsidRPr="00DB504F" w:rsidRDefault="00DB504F" w:rsidP="00DB504F">
      <w:pPr>
        <w:spacing w:after="0" w:line="240" w:lineRule="auto"/>
        <w:jc w:val="both"/>
        <w:outlineLvl w:val="0"/>
        <w:rPr>
          <w:rFonts w:ascii="Times New Roman" w:hAnsi="Times New Roman"/>
          <w:sz w:val="20"/>
          <w:szCs w:val="20"/>
        </w:rPr>
      </w:pPr>
      <w:r w:rsidRPr="00DB504F">
        <w:rPr>
          <w:rFonts w:ascii="Times New Roman" w:hAnsi="Times New Roman"/>
          <w:sz w:val="20"/>
          <w:szCs w:val="20"/>
        </w:rPr>
        <w:t>The average of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-N and PO</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3-</w:t>
      </w:r>
      <w:r w:rsidRPr="00DB504F">
        <w:rPr>
          <w:rFonts w:ascii="Times New Roman" w:hAnsi="Times New Roman"/>
          <w:sz w:val="20"/>
          <w:szCs w:val="20"/>
        </w:rPr>
        <w:t>-P during both dry period and post-storm sampling were 1.72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-N µM and 0.01 PO</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3-</w:t>
      </w:r>
      <w:r w:rsidRPr="00DB504F">
        <w:rPr>
          <w:rFonts w:ascii="Times New Roman" w:hAnsi="Times New Roman"/>
          <w:sz w:val="20"/>
          <w:szCs w:val="20"/>
        </w:rPr>
        <w:t>-P µM, and 0.74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-N µM and below detection limit (PO</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3—</w:t>
      </w:r>
      <w:r w:rsidRPr="00DB504F">
        <w:rPr>
          <w:rFonts w:ascii="Times New Roman" w:hAnsi="Times New Roman"/>
          <w:sz w:val="20"/>
          <w:szCs w:val="20"/>
        </w:rPr>
        <w:t>P: ˂0.01 µM), respectively. Nitrite and phosphate concentrations were found higher at downstream sites (Figure 3e, f). Higher nutrient concentrations observed at the downstream suggested possible input from the lagoon water. In contrary to most of the parameters studied, the concentrations of these nutrients were also higher during dry period.</w:t>
      </w:r>
    </w:p>
    <w:p w:rsidR="00DB504F" w:rsidRPr="00DB504F" w:rsidRDefault="00DB504F" w:rsidP="00DB504F">
      <w:pPr>
        <w:spacing w:after="0" w:line="240" w:lineRule="auto"/>
        <w:jc w:val="both"/>
        <w:outlineLvl w:val="0"/>
        <w:rPr>
          <w:rFonts w:ascii="Times New Roman" w:hAnsi="Times New Roman"/>
          <w:sz w:val="20"/>
          <w:szCs w:val="20"/>
        </w:rPr>
      </w:pPr>
    </w:p>
    <w:p w:rsidR="00DB504F" w:rsidRPr="00DB504F" w:rsidRDefault="00DB504F" w:rsidP="00DB504F">
      <w:pPr>
        <w:spacing w:after="0" w:line="240" w:lineRule="auto"/>
        <w:jc w:val="both"/>
        <w:outlineLvl w:val="0"/>
        <w:rPr>
          <w:rFonts w:ascii="Times New Roman" w:hAnsi="Times New Roman"/>
          <w:b/>
          <w:bCs/>
          <w:sz w:val="20"/>
          <w:szCs w:val="20"/>
        </w:rPr>
      </w:pPr>
      <w:bookmarkStart w:id="3" w:name="_Toc495247034"/>
      <w:r w:rsidRPr="00DB504F">
        <w:rPr>
          <w:rFonts w:ascii="Times New Roman" w:hAnsi="Times New Roman"/>
          <w:b/>
          <w:bCs/>
          <w:sz w:val="20"/>
          <w:szCs w:val="20"/>
        </w:rPr>
        <w:t>Radon inventory and groundwater discharge in Ular River</w:t>
      </w:r>
      <w:bookmarkEnd w:id="3"/>
    </w:p>
    <w:p w:rsidR="00DB504F" w:rsidRPr="00DB504F" w:rsidRDefault="00DB504F" w:rsidP="00DB504F">
      <w:pPr>
        <w:spacing w:after="0" w:line="240" w:lineRule="auto"/>
        <w:jc w:val="both"/>
        <w:outlineLvl w:val="0"/>
        <w:rPr>
          <w:rFonts w:ascii="Times New Roman" w:hAnsi="Times New Roman"/>
          <w:sz w:val="20"/>
          <w:szCs w:val="20"/>
        </w:rPr>
      </w:pPr>
      <w:r w:rsidRPr="00DB504F">
        <w:rPr>
          <w:rFonts w:ascii="Times New Roman" w:hAnsi="Times New Roman"/>
          <w:sz w:val="20"/>
          <w:szCs w:val="20"/>
        </w:rPr>
        <w:t>The inventories for radon sources, sink, groundwater discharge rate and its associated nutrient fluxes are presented in Table 2. The average groundwater radon concentration obtained is 1061±665 Bq/m</w:t>
      </w:r>
      <w:r w:rsidRPr="00DB504F">
        <w:rPr>
          <w:rFonts w:ascii="Times New Roman" w:hAnsi="Times New Roman"/>
          <w:sz w:val="20"/>
          <w:szCs w:val="20"/>
          <w:vertAlign w:val="superscript"/>
        </w:rPr>
        <w:t>3</w:t>
      </w:r>
      <w:r w:rsidRPr="00DB504F">
        <w:rPr>
          <w:rFonts w:ascii="Times New Roman" w:hAnsi="Times New Roman"/>
          <w:sz w:val="20"/>
          <w:szCs w:val="20"/>
        </w:rPr>
        <w:t>; this value is approximately three times higher than the average radon concentration of 358±246 Bq/m</w:t>
      </w:r>
      <w:r w:rsidRPr="00DB504F">
        <w:rPr>
          <w:rFonts w:ascii="Times New Roman" w:hAnsi="Times New Roman"/>
          <w:sz w:val="20"/>
          <w:szCs w:val="20"/>
          <w:vertAlign w:val="superscript"/>
        </w:rPr>
        <w:t>3</w:t>
      </w:r>
      <w:r w:rsidRPr="00DB504F">
        <w:rPr>
          <w:rFonts w:ascii="Times New Roman" w:hAnsi="Times New Roman"/>
          <w:sz w:val="20"/>
          <w:szCs w:val="20"/>
        </w:rPr>
        <w:t xml:space="preserve"> observed in the surface water. Figure 5 shows that the groundwater discharge hotspots occur at upper and middle part of Ular River (G7-G12).</w:t>
      </w:r>
    </w:p>
    <w:p w:rsidR="00DB504F" w:rsidRDefault="00DB504F" w:rsidP="005C297B">
      <w:pPr>
        <w:spacing w:after="0" w:line="240" w:lineRule="auto"/>
        <w:jc w:val="both"/>
        <w:outlineLvl w:val="0"/>
        <w:rPr>
          <w:rFonts w:ascii="Times New Roman" w:hAnsi="Times New Roman"/>
          <w:sz w:val="20"/>
          <w:szCs w:val="20"/>
        </w:rPr>
      </w:pPr>
    </w:p>
    <w:p w:rsidR="005C297B" w:rsidRPr="00DB504F" w:rsidRDefault="005C297B" w:rsidP="005C297B">
      <w:pPr>
        <w:spacing w:after="0" w:line="240" w:lineRule="auto"/>
        <w:jc w:val="both"/>
        <w:outlineLvl w:val="0"/>
        <w:rPr>
          <w:rFonts w:ascii="Times New Roman" w:hAnsi="Times New Roman"/>
          <w:sz w:val="20"/>
          <w:szCs w:val="20"/>
        </w:rPr>
      </w:pPr>
      <w:r w:rsidRPr="00DB504F">
        <w:rPr>
          <w:rFonts w:ascii="Times New Roman" w:hAnsi="Times New Roman"/>
          <w:sz w:val="20"/>
          <w:szCs w:val="20"/>
        </w:rPr>
        <w:t>The radon loss through atmospheric evasion was calculated to be 4198±259 Bq/m</w:t>
      </w:r>
      <w:r w:rsidRPr="00DB504F">
        <w:rPr>
          <w:rFonts w:ascii="Times New Roman" w:hAnsi="Times New Roman"/>
          <w:sz w:val="20"/>
          <w:szCs w:val="20"/>
          <w:vertAlign w:val="superscript"/>
        </w:rPr>
        <w:t>2</w:t>
      </w:r>
      <w:r w:rsidRPr="00DB504F">
        <w:rPr>
          <w:rFonts w:ascii="Times New Roman" w:hAnsi="Times New Roman"/>
          <w:sz w:val="20"/>
          <w:szCs w:val="20"/>
        </w:rPr>
        <w:t>day</w:t>
      </w:r>
      <w:r w:rsidRPr="00DB504F">
        <w:rPr>
          <w:rFonts w:ascii="Times New Roman" w:hAnsi="Times New Roman"/>
          <w:sz w:val="20"/>
          <w:szCs w:val="20"/>
          <w:vertAlign w:val="superscript"/>
        </w:rPr>
        <w:t>-1</w:t>
      </w:r>
      <w:r w:rsidRPr="00DB504F">
        <w:rPr>
          <w:rFonts w:ascii="Times New Roman" w:hAnsi="Times New Roman"/>
          <w:sz w:val="20"/>
          <w:szCs w:val="20"/>
        </w:rPr>
        <w:t>, which accounted for only about 0.01% of the total radon inventories studied in the model. Radon input contributed from the dissolved radium and sediment diffusion was also not insignificant. The radon inventories for both product of radium decay and sediment diffusion are 1.92±0.47 Bq/m</w:t>
      </w:r>
      <w:r w:rsidRPr="00DB504F">
        <w:rPr>
          <w:rFonts w:ascii="Times New Roman" w:hAnsi="Times New Roman"/>
          <w:sz w:val="20"/>
          <w:szCs w:val="20"/>
          <w:vertAlign w:val="superscript"/>
        </w:rPr>
        <w:t xml:space="preserve">3 </w:t>
      </w:r>
      <w:r w:rsidRPr="00DB504F">
        <w:rPr>
          <w:rFonts w:ascii="Times New Roman" w:hAnsi="Times New Roman"/>
          <w:sz w:val="20"/>
          <w:szCs w:val="20"/>
        </w:rPr>
        <w:t>and 0.75±0.33 Bq/m</w:t>
      </w:r>
      <w:r w:rsidRPr="00DB504F">
        <w:rPr>
          <w:rFonts w:ascii="Times New Roman" w:hAnsi="Times New Roman"/>
          <w:sz w:val="20"/>
          <w:szCs w:val="20"/>
          <w:vertAlign w:val="superscript"/>
        </w:rPr>
        <w:t>2</w:t>
      </w:r>
      <w:r w:rsidRPr="00DB504F">
        <w:rPr>
          <w:rFonts w:ascii="Times New Roman" w:hAnsi="Times New Roman"/>
          <w:sz w:val="20"/>
          <w:szCs w:val="20"/>
        </w:rPr>
        <w:t>day, respectively.</w:t>
      </w:r>
    </w:p>
    <w:p w:rsidR="005C297B" w:rsidRPr="00DB504F" w:rsidRDefault="005C297B" w:rsidP="005C297B">
      <w:pPr>
        <w:spacing w:after="0" w:line="240" w:lineRule="auto"/>
        <w:jc w:val="both"/>
        <w:outlineLvl w:val="0"/>
        <w:rPr>
          <w:rFonts w:ascii="Times New Roman" w:hAnsi="Times New Roman"/>
          <w:sz w:val="20"/>
          <w:szCs w:val="20"/>
        </w:rPr>
      </w:pPr>
    </w:p>
    <w:p w:rsidR="005C297B" w:rsidRPr="00DB504F" w:rsidRDefault="005C297B" w:rsidP="005C297B">
      <w:pPr>
        <w:spacing w:after="0" w:line="240" w:lineRule="auto"/>
        <w:jc w:val="both"/>
        <w:outlineLvl w:val="0"/>
        <w:rPr>
          <w:rFonts w:ascii="Times New Roman" w:hAnsi="Times New Roman"/>
          <w:sz w:val="20"/>
          <w:szCs w:val="20"/>
        </w:rPr>
      </w:pPr>
      <w:r w:rsidRPr="00DB504F">
        <w:rPr>
          <w:rFonts w:ascii="Times New Roman" w:hAnsi="Times New Roman"/>
          <w:color w:val="000000" w:themeColor="text1"/>
          <w:sz w:val="20"/>
          <w:szCs w:val="20"/>
        </w:rPr>
        <w:lastRenderedPageBreak/>
        <w:t>With the assumption of the river flow is steady and uniform, groundwater discharge rate in Ular River could account up to 6649±6178 m</w:t>
      </w:r>
      <w:r w:rsidRPr="00DB504F">
        <w:rPr>
          <w:rFonts w:ascii="Times New Roman" w:hAnsi="Times New Roman"/>
          <w:color w:val="000000" w:themeColor="text1"/>
          <w:sz w:val="20"/>
          <w:szCs w:val="20"/>
          <w:vertAlign w:val="superscript"/>
        </w:rPr>
        <w:t>3</w:t>
      </w:r>
      <w:r w:rsidRPr="00DB504F">
        <w:rPr>
          <w:rFonts w:ascii="Times New Roman" w:hAnsi="Times New Roman"/>
          <w:color w:val="000000" w:themeColor="text1"/>
          <w:sz w:val="20"/>
          <w:szCs w:val="20"/>
        </w:rPr>
        <w:t>day</w:t>
      </w:r>
      <w:r w:rsidRPr="00DB504F">
        <w:rPr>
          <w:rFonts w:ascii="Times New Roman" w:hAnsi="Times New Roman"/>
          <w:color w:val="000000" w:themeColor="text1"/>
          <w:sz w:val="20"/>
          <w:szCs w:val="20"/>
          <w:vertAlign w:val="superscript"/>
        </w:rPr>
        <w:t>-1</w:t>
      </w:r>
      <w:r w:rsidRPr="00DB504F">
        <w:rPr>
          <w:rFonts w:ascii="Times New Roman" w:hAnsi="Times New Roman"/>
          <w:color w:val="000000" w:themeColor="text1"/>
          <w:sz w:val="20"/>
          <w:szCs w:val="20"/>
        </w:rPr>
        <w:t xml:space="preserve"> (Table 2). Since the total riverine flow is a sum of surface water flow and the groundwater flow into the river, the percentage of groundwater flow contributed to the surface water can be calculated. the groundwater flow is equivalent to ~33% of the total riverine flow in Ular River. This value is higher than most of the values reported </w:t>
      </w:r>
      <w:r w:rsidRPr="00DB504F">
        <w:rPr>
          <w:rFonts w:ascii="Times New Roman" w:hAnsi="Times New Roman"/>
          <w:sz w:val="20"/>
          <w:szCs w:val="20"/>
        </w:rPr>
        <w:t xml:space="preserve">elsewhere; where most estimation of the fresh groundwater fluxes into the river ranged from 0.6%-16% of the total riverine flow [12, 14, 33]. </w:t>
      </w:r>
    </w:p>
    <w:p w:rsidR="005C297B" w:rsidRPr="00DB504F" w:rsidRDefault="005C297B" w:rsidP="0027164D">
      <w:pPr>
        <w:spacing w:after="120" w:line="240" w:lineRule="auto"/>
        <w:jc w:val="both"/>
        <w:outlineLvl w:val="0"/>
        <w:rPr>
          <w:rFonts w:ascii="Times New Roman" w:hAnsi="Times New Roman"/>
          <w:sz w:val="20"/>
          <w:szCs w:val="20"/>
        </w:rPr>
      </w:pPr>
    </w:p>
    <w:p w:rsidR="00DB504F" w:rsidRPr="00DB504F" w:rsidRDefault="00DB504F" w:rsidP="00201423">
      <w:pPr>
        <w:spacing w:after="0" w:line="240" w:lineRule="auto"/>
        <w:jc w:val="center"/>
        <w:outlineLvl w:val="0"/>
        <w:rPr>
          <w:rFonts w:ascii="Times New Roman" w:hAnsi="Times New Roman"/>
          <w:iCs/>
          <w:sz w:val="20"/>
          <w:szCs w:val="20"/>
        </w:rPr>
      </w:pPr>
      <w:r w:rsidRPr="00DB504F">
        <w:rPr>
          <w:rFonts w:ascii="Times New Roman" w:hAnsi="Times New Roman"/>
          <w:iCs/>
          <w:sz w:val="20"/>
          <w:szCs w:val="20"/>
        </w:rPr>
        <w:t xml:space="preserve">Table 2. </w:t>
      </w:r>
      <w:r w:rsidR="00201423">
        <w:rPr>
          <w:rFonts w:ascii="Times New Roman" w:hAnsi="Times New Roman"/>
          <w:iCs/>
          <w:sz w:val="20"/>
          <w:szCs w:val="20"/>
        </w:rPr>
        <w:t xml:space="preserve"> </w:t>
      </w:r>
      <w:r w:rsidRPr="00DB504F">
        <w:rPr>
          <w:rFonts w:ascii="Times New Roman" w:hAnsi="Times New Roman"/>
          <w:iCs/>
          <w:sz w:val="20"/>
          <w:szCs w:val="20"/>
        </w:rPr>
        <w:t>Radon inventories and mass balance input for radon box model</w:t>
      </w:r>
    </w:p>
    <w:tbl>
      <w:tblPr>
        <w:tblpPr w:leftFromText="180" w:rightFromText="180" w:vertAnchor="text" w:horzAnchor="margin" w:tblpXSpec="center" w:tblpY="103"/>
        <w:tblW w:w="8472" w:type="dxa"/>
        <w:tblBorders>
          <w:top w:val="single" w:sz="4" w:space="0" w:color="auto"/>
          <w:bottom w:val="single" w:sz="4" w:space="0" w:color="auto"/>
        </w:tblBorders>
        <w:tblLook w:val="04A0" w:firstRow="1" w:lastRow="0" w:firstColumn="1" w:lastColumn="0" w:noHBand="0" w:noVBand="1"/>
      </w:tblPr>
      <w:tblGrid>
        <w:gridCol w:w="3794"/>
        <w:gridCol w:w="2253"/>
        <w:gridCol w:w="2425"/>
      </w:tblGrid>
      <w:tr w:rsidR="00DB504F" w:rsidRPr="00DB504F" w:rsidTr="00201423">
        <w:tc>
          <w:tcPr>
            <w:tcW w:w="3794" w:type="dxa"/>
            <w:tcBorders>
              <w:top w:val="single" w:sz="4" w:space="0" w:color="auto"/>
              <w:bottom w:val="single" w:sz="4" w:space="0" w:color="auto"/>
            </w:tcBorders>
          </w:tcPr>
          <w:p w:rsidR="00DB504F" w:rsidRPr="00DB504F" w:rsidRDefault="00DB504F" w:rsidP="00201423">
            <w:pPr>
              <w:spacing w:before="60" w:after="60" w:line="240" w:lineRule="auto"/>
              <w:jc w:val="both"/>
              <w:outlineLvl w:val="0"/>
              <w:rPr>
                <w:rFonts w:ascii="Times New Roman" w:hAnsi="Times New Roman"/>
                <w:b/>
                <w:sz w:val="20"/>
                <w:szCs w:val="20"/>
              </w:rPr>
            </w:pPr>
            <w:r w:rsidRPr="00DB504F">
              <w:rPr>
                <w:rFonts w:ascii="Times New Roman" w:hAnsi="Times New Roman"/>
                <w:b/>
                <w:sz w:val="20"/>
                <w:szCs w:val="20"/>
              </w:rPr>
              <w:t>Inventory</w:t>
            </w:r>
          </w:p>
        </w:tc>
        <w:tc>
          <w:tcPr>
            <w:tcW w:w="2253" w:type="dxa"/>
            <w:tcBorders>
              <w:top w:val="single" w:sz="4" w:space="0" w:color="auto"/>
              <w:bottom w:val="single" w:sz="4" w:space="0" w:color="auto"/>
            </w:tcBorders>
          </w:tcPr>
          <w:p w:rsidR="00DB504F" w:rsidRPr="00DB504F" w:rsidRDefault="00DB504F" w:rsidP="00201423">
            <w:pPr>
              <w:spacing w:before="60" w:after="60" w:line="240" w:lineRule="auto"/>
              <w:jc w:val="both"/>
              <w:outlineLvl w:val="0"/>
              <w:rPr>
                <w:rFonts w:ascii="Times New Roman" w:hAnsi="Times New Roman"/>
                <w:b/>
                <w:sz w:val="20"/>
                <w:szCs w:val="20"/>
              </w:rPr>
            </w:pPr>
            <w:r w:rsidRPr="00DB504F">
              <w:rPr>
                <w:rFonts w:ascii="Times New Roman" w:hAnsi="Times New Roman"/>
                <w:b/>
                <w:sz w:val="20"/>
                <w:szCs w:val="20"/>
              </w:rPr>
              <w:t>Symbol and Unit</w:t>
            </w:r>
          </w:p>
        </w:tc>
        <w:tc>
          <w:tcPr>
            <w:tcW w:w="2425" w:type="dxa"/>
            <w:tcBorders>
              <w:top w:val="single" w:sz="4" w:space="0" w:color="auto"/>
              <w:bottom w:val="single" w:sz="4" w:space="0" w:color="auto"/>
            </w:tcBorders>
          </w:tcPr>
          <w:p w:rsidR="00DB504F" w:rsidRPr="00DB504F" w:rsidRDefault="00DB504F" w:rsidP="00201423">
            <w:pPr>
              <w:spacing w:before="60" w:after="60" w:line="240" w:lineRule="auto"/>
              <w:jc w:val="both"/>
              <w:outlineLvl w:val="0"/>
              <w:rPr>
                <w:rFonts w:ascii="Times New Roman" w:hAnsi="Times New Roman"/>
                <w:b/>
                <w:sz w:val="20"/>
                <w:szCs w:val="20"/>
              </w:rPr>
            </w:pPr>
            <w:r w:rsidRPr="00DB504F">
              <w:rPr>
                <w:rFonts w:ascii="Times New Roman" w:hAnsi="Times New Roman"/>
                <w:b/>
                <w:sz w:val="20"/>
                <w:szCs w:val="20"/>
              </w:rPr>
              <w:t>Concentration ± SD (n)</w:t>
            </w:r>
          </w:p>
        </w:tc>
      </w:tr>
      <w:tr w:rsidR="00DB504F" w:rsidRPr="00DB504F" w:rsidTr="00201423">
        <w:tc>
          <w:tcPr>
            <w:tcW w:w="3794" w:type="dxa"/>
            <w:tcBorders>
              <w:top w:val="single" w:sz="4" w:space="0" w:color="auto"/>
              <w:left w:val="nil"/>
              <w:bottom w:val="nil"/>
              <w:right w:val="nil"/>
            </w:tcBorders>
          </w:tcPr>
          <w:p w:rsidR="00DB504F" w:rsidRPr="00DB504F" w:rsidRDefault="00DB504F" w:rsidP="00201423">
            <w:pPr>
              <w:spacing w:before="60" w:after="0" w:line="240" w:lineRule="auto"/>
              <w:jc w:val="both"/>
              <w:outlineLvl w:val="0"/>
              <w:rPr>
                <w:rFonts w:ascii="Times New Roman" w:hAnsi="Times New Roman"/>
                <w:sz w:val="20"/>
                <w:szCs w:val="20"/>
                <w:vertAlign w:val="superscript"/>
              </w:rPr>
            </w:pPr>
            <w:r w:rsidRPr="00DB504F">
              <w:rPr>
                <w:rFonts w:ascii="Times New Roman" w:hAnsi="Times New Roman"/>
                <w:sz w:val="20"/>
                <w:szCs w:val="20"/>
                <w:vertAlign w:val="superscript"/>
              </w:rPr>
              <w:t>222</w:t>
            </w:r>
            <w:r w:rsidRPr="00DB504F">
              <w:rPr>
                <w:rFonts w:ascii="Times New Roman" w:hAnsi="Times New Roman"/>
                <w:sz w:val="20"/>
                <w:szCs w:val="20"/>
              </w:rPr>
              <w:t>Rn in the surface water</w:t>
            </w:r>
          </w:p>
        </w:tc>
        <w:tc>
          <w:tcPr>
            <w:tcW w:w="2253" w:type="dxa"/>
            <w:tcBorders>
              <w:top w:val="single" w:sz="4" w:space="0" w:color="auto"/>
              <w:left w:val="nil"/>
              <w:bottom w:val="nil"/>
              <w:right w:val="nil"/>
            </w:tcBorders>
          </w:tcPr>
          <w:p w:rsidR="00DB504F" w:rsidRPr="00DB504F" w:rsidRDefault="00DB504F" w:rsidP="00201423">
            <w:pPr>
              <w:spacing w:before="60" w:after="0" w:line="240" w:lineRule="auto"/>
              <w:jc w:val="both"/>
              <w:outlineLvl w:val="0"/>
              <w:rPr>
                <w:rFonts w:ascii="Times New Roman" w:hAnsi="Times New Roman"/>
                <w:sz w:val="20"/>
                <w:szCs w:val="20"/>
              </w:rPr>
            </w:pPr>
            <w:r w:rsidRPr="00DB504F">
              <w:rPr>
                <w:rFonts w:ascii="Times New Roman" w:hAnsi="Times New Roman"/>
                <w:sz w:val="20"/>
                <w:szCs w:val="20"/>
              </w:rPr>
              <w:t>Rn</w:t>
            </w:r>
            <w:r w:rsidRPr="00DB504F">
              <w:rPr>
                <w:rFonts w:ascii="Times New Roman" w:hAnsi="Times New Roman"/>
                <w:i/>
                <w:sz w:val="20"/>
                <w:szCs w:val="20"/>
                <w:vertAlign w:val="subscript"/>
              </w:rPr>
              <w:t xml:space="preserve">surface </w:t>
            </w:r>
            <w:r w:rsidRPr="00DB504F">
              <w:rPr>
                <w:rFonts w:ascii="Times New Roman" w:hAnsi="Times New Roman"/>
                <w:sz w:val="20"/>
                <w:szCs w:val="20"/>
              </w:rPr>
              <w:t>(Bqm</w:t>
            </w:r>
            <w:r w:rsidRPr="00DB504F">
              <w:rPr>
                <w:rFonts w:ascii="Times New Roman" w:hAnsi="Times New Roman"/>
                <w:sz w:val="20"/>
                <w:szCs w:val="20"/>
                <w:vertAlign w:val="superscript"/>
              </w:rPr>
              <w:t>-3</w:t>
            </w:r>
            <w:r w:rsidRPr="00DB504F">
              <w:rPr>
                <w:rFonts w:ascii="Times New Roman" w:hAnsi="Times New Roman"/>
                <w:sz w:val="20"/>
                <w:szCs w:val="20"/>
              </w:rPr>
              <w:t>)</w:t>
            </w:r>
          </w:p>
        </w:tc>
        <w:tc>
          <w:tcPr>
            <w:tcW w:w="2425" w:type="dxa"/>
            <w:tcBorders>
              <w:top w:val="single" w:sz="4" w:space="0" w:color="auto"/>
              <w:left w:val="nil"/>
              <w:bottom w:val="nil"/>
              <w:right w:val="nil"/>
            </w:tcBorders>
          </w:tcPr>
          <w:p w:rsidR="00DB504F" w:rsidRPr="00DB504F" w:rsidRDefault="00DB504F" w:rsidP="00201423">
            <w:pPr>
              <w:spacing w:before="60" w:after="0" w:line="240" w:lineRule="auto"/>
              <w:jc w:val="both"/>
              <w:outlineLvl w:val="0"/>
              <w:rPr>
                <w:rFonts w:ascii="Times New Roman" w:hAnsi="Times New Roman"/>
                <w:sz w:val="20"/>
                <w:szCs w:val="20"/>
              </w:rPr>
            </w:pPr>
            <w:r w:rsidRPr="00DB504F">
              <w:rPr>
                <w:rFonts w:ascii="Times New Roman" w:hAnsi="Times New Roman"/>
                <w:sz w:val="20"/>
                <w:szCs w:val="20"/>
              </w:rPr>
              <w:t>358±246 (14)</w:t>
            </w:r>
          </w:p>
        </w:tc>
      </w:tr>
      <w:tr w:rsidR="00DB504F" w:rsidRPr="00DB504F" w:rsidTr="003034BF">
        <w:tc>
          <w:tcPr>
            <w:tcW w:w="3794"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vertAlign w:val="superscript"/>
              </w:rPr>
              <w:t>222</w:t>
            </w:r>
            <w:r w:rsidRPr="00DB504F">
              <w:rPr>
                <w:rFonts w:ascii="Times New Roman" w:hAnsi="Times New Roman"/>
                <w:sz w:val="20"/>
                <w:szCs w:val="20"/>
              </w:rPr>
              <w:t>Rn in the groundwater</w:t>
            </w:r>
          </w:p>
        </w:tc>
        <w:tc>
          <w:tcPr>
            <w:tcW w:w="2253"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Rn</w:t>
            </w:r>
            <w:r w:rsidRPr="00DB504F">
              <w:rPr>
                <w:rFonts w:ascii="Times New Roman" w:hAnsi="Times New Roman"/>
                <w:i/>
                <w:sz w:val="20"/>
                <w:szCs w:val="20"/>
                <w:vertAlign w:val="subscript"/>
              </w:rPr>
              <w:t xml:space="preserve">end-member </w:t>
            </w:r>
            <w:r w:rsidRPr="00DB504F">
              <w:rPr>
                <w:rFonts w:ascii="Times New Roman" w:hAnsi="Times New Roman"/>
                <w:sz w:val="20"/>
                <w:szCs w:val="20"/>
              </w:rPr>
              <w:t>(Bqm</w:t>
            </w:r>
            <w:r w:rsidRPr="00DB504F">
              <w:rPr>
                <w:rFonts w:ascii="Times New Roman" w:hAnsi="Times New Roman"/>
                <w:sz w:val="20"/>
                <w:szCs w:val="20"/>
                <w:vertAlign w:val="superscript"/>
              </w:rPr>
              <w:t>-3</w:t>
            </w:r>
            <w:r w:rsidRPr="00DB504F">
              <w:rPr>
                <w:rFonts w:ascii="Times New Roman" w:hAnsi="Times New Roman"/>
                <w:sz w:val="20"/>
                <w:szCs w:val="20"/>
              </w:rPr>
              <w:t>)</w:t>
            </w:r>
          </w:p>
        </w:tc>
        <w:tc>
          <w:tcPr>
            <w:tcW w:w="2425"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1061±665 (17)</w:t>
            </w:r>
          </w:p>
        </w:tc>
      </w:tr>
      <w:tr w:rsidR="00DB504F" w:rsidRPr="00DB504F" w:rsidTr="003034BF">
        <w:tc>
          <w:tcPr>
            <w:tcW w:w="3794"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i/>
                <w:sz w:val="20"/>
                <w:szCs w:val="20"/>
              </w:rPr>
              <w:t>Radon sources</w:t>
            </w:r>
          </w:p>
        </w:tc>
        <w:tc>
          <w:tcPr>
            <w:tcW w:w="2253"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p>
        </w:tc>
        <w:tc>
          <w:tcPr>
            <w:tcW w:w="2425"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p>
        </w:tc>
      </w:tr>
      <w:tr w:rsidR="00DB504F" w:rsidRPr="00DB504F" w:rsidTr="003034BF">
        <w:tc>
          <w:tcPr>
            <w:tcW w:w="3794"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vertAlign w:val="superscript"/>
              </w:rPr>
              <w:t xml:space="preserve">         222</w:t>
            </w:r>
            <w:r w:rsidRPr="00DB504F">
              <w:rPr>
                <w:rFonts w:ascii="Times New Roman" w:hAnsi="Times New Roman"/>
                <w:sz w:val="20"/>
                <w:szCs w:val="20"/>
              </w:rPr>
              <w:t>Rn from the radium in water</w:t>
            </w:r>
          </w:p>
        </w:tc>
        <w:tc>
          <w:tcPr>
            <w:tcW w:w="2253"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Rn</w:t>
            </w:r>
            <w:r w:rsidRPr="00DB504F">
              <w:rPr>
                <w:rFonts w:ascii="Times New Roman" w:hAnsi="Times New Roman"/>
                <w:i/>
                <w:sz w:val="20"/>
                <w:szCs w:val="20"/>
                <w:vertAlign w:val="subscript"/>
              </w:rPr>
              <w:t xml:space="preserve">radium </w:t>
            </w:r>
            <w:r w:rsidRPr="00DB504F">
              <w:rPr>
                <w:rFonts w:ascii="Times New Roman" w:hAnsi="Times New Roman"/>
                <w:sz w:val="20"/>
                <w:szCs w:val="20"/>
              </w:rPr>
              <w:t>(Bqm</w:t>
            </w:r>
            <w:r w:rsidRPr="00DB504F">
              <w:rPr>
                <w:rFonts w:ascii="Times New Roman" w:hAnsi="Times New Roman"/>
                <w:sz w:val="20"/>
                <w:szCs w:val="20"/>
                <w:vertAlign w:val="superscript"/>
              </w:rPr>
              <w:t>-3</w:t>
            </w:r>
            <w:r w:rsidRPr="00DB504F">
              <w:rPr>
                <w:rFonts w:ascii="Times New Roman" w:hAnsi="Times New Roman"/>
                <w:sz w:val="20"/>
                <w:szCs w:val="20"/>
              </w:rPr>
              <w:t>)</w:t>
            </w:r>
          </w:p>
        </w:tc>
        <w:tc>
          <w:tcPr>
            <w:tcW w:w="2425"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1.92±0.47 (6)</w:t>
            </w:r>
          </w:p>
        </w:tc>
      </w:tr>
      <w:tr w:rsidR="00DB504F" w:rsidRPr="00DB504F" w:rsidTr="003034BF">
        <w:tc>
          <w:tcPr>
            <w:tcW w:w="3794"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vertAlign w:val="superscript"/>
              </w:rPr>
              <w:t xml:space="preserve">         222</w:t>
            </w:r>
            <w:r w:rsidRPr="00DB504F">
              <w:rPr>
                <w:rFonts w:ascii="Times New Roman" w:hAnsi="Times New Roman"/>
                <w:sz w:val="20"/>
                <w:szCs w:val="20"/>
              </w:rPr>
              <w:t xml:space="preserve">Rn diffused from the sediment </w:t>
            </w:r>
          </w:p>
        </w:tc>
        <w:tc>
          <w:tcPr>
            <w:tcW w:w="2253"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Rn</w:t>
            </w:r>
            <w:r w:rsidRPr="00DB504F">
              <w:rPr>
                <w:rFonts w:ascii="Times New Roman" w:hAnsi="Times New Roman"/>
                <w:i/>
                <w:sz w:val="20"/>
                <w:szCs w:val="20"/>
                <w:vertAlign w:val="subscript"/>
              </w:rPr>
              <w:t xml:space="preserve">sediment </w:t>
            </w:r>
            <w:r w:rsidRPr="00DB504F">
              <w:rPr>
                <w:rFonts w:ascii="Times New Roman" w:hAnsi="Times New Roman"/>
                <w:sz w:val="20"/>
                <w:szCs w:val="20"/>
              </w:rPr>
              <w:t>(Bqm</w:t>
            </w:r>
            <w:r w:rsidRPr="00DB504F">
              <w:rPr>
                <w:rFonts w:ascii="Times New Roman" w:hAnsi="Times New Roman"/>
                <w:sz w:val="20"/>
                <w:szCs w:val="20"/>
                <w:vertAlign w:val="superscript"/>
              </w:rPr>
              <w:t>-2</w:t>
            </w:r>
            <w:r w:rsidRPr="00DB504F">
              <w:rPr>
                <w:rFonts w:ascii="Times New Roman" w:hAnsi="Times New Roman"/>
                <w:sz w:val="20"/>
                <w:szCs w:val="20"/>
              </w:rPr>
              <w:t>day</w:t>
            </w:r>
            <w:r w:rsidRPr="00DB504F">
              <w:rPr>
                <w:rFonts w:ascii="Times New Roman" w:hAnsi="Times New Roman"/>
                <w:sz w:val="20"/>
                <w:szCs w:val="20"/>
                <w:vertAlign w:val="superscript"/>
              </w:rPr>
              <w:t>-1</w:t>
            </w:r>
            <w:r w:rsidRPr="00DB504F">
              <w:rPr>
                <w:rFonts w:ascii="Times New Roman" w:hAnsi="Times New Roman"/>
                <w:sz w:val="20"/>
                <w:szCs w:val="20"/>
              </w:rPr>
              <w:t>)</w:t>
            </w:r>
          </w:p>
        </w:tc>
        <w:tc>
          <w:tcPr>
            <w:tcW w:w="2425"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0.75±0.33 (6)</w:t>
            </w:r>
          </w:p>
        </w:tc>
      </w:tr>
      <w:tr w:rsidR="00DB504F" w:rsidRPr="00DB504F" w:rsidTr="003034BF">
        <w:tc>
          <w:tcPr>
            <w:tcW w:w="3794"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i/>
                <w:sz w:val="20"/>
                <w:szCs w:val="20"/>
              </w:rPr>
            </w:pPr>
            <w:r w:rsidRPr="00DB504F">
              <w:rPr>
                <w:rFonts w:ascii="Times New Roman" w:hAnsi="Times New Roman"/>
                <w:i/>
                <w:sz w:val="20"/>
                <w:szCs w:val="20"/>
              </w:rPr>
              <w:t>Radon sinks</w:t>
            </w:r>
          </w:p>
        </w:tc>
        <w:tc>
          <w:tcPr>
            <w:tcW w:w="2253"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p>
        </w:tc>
        <w:tc>
          <w:tcPr>
            <w:tcW w:w="2425" w:type="dxa"/>
            <w:tcBorders>
              <w:top w:val="nil"/>
              <w:left w:val="nil"/>
              <w:bottom w:val="nil"/>
              <w:right w:val="nil"/>
            </w:tcBorders>
          </w:tcPr>
          <w:p w:rsidR="00DB504F" w:rsidRPr="00DB504F" w:rsidRDefault="00DB504F" w:rsidP="003034BF">
            <w:pPr>
              <w:spacing w:after="0" w:line="240" w:lineRule="auto"/>
              <w:jc w:val="both"/>
              <w:outlineLvl w:val="0"/>
              <w:rPr>
                <w:rFonts w:ascii="Times New Roman" w:hAnsi="Times New Roman"/>
                <w:sz w:val="20"/>
                <w:szCs w:val="20"/>
              </w:rPr>
            </w:pPr>
          </w:p>
        </w:tc>
      </w:tr>
      <w:tr w:rsidR="00DB504F" w:rsidRPr="00DB504F" w:rsidTr="003034BF">
        <w:tc>
          <w:tcPr>
            <w:tcW w:w="3794" w:type="dxa"/>
            <w:tcBorders>
              <w:top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Atmospheric evasion</w:t>
            </w:r>
          </w:p>
        </w:tc>
        <w:tc>
          <w:tcPr>
            <w:tcW w:w="2253" w:type="dxa"/>
            <w:tcBorders>
              <w:top w:val="nil"/>
            </w:tcBorders>
          </w:tcPr>
          <w:p w:rsidR="00DB504F" w:rsidRPr="00DB504F" w:rsidRDefault="00DB504F" w:rsidP="003034BF">
            <w:pPr>
              <w:spacing w:after="0" w:line="240" w:lineRule="auto"/>
              <w:jc w:val="both"/>
              <w:outlineLvl w:val="0"/>
              <w:rPr>
                <w:rFonts w:ascii="Times New Roman" w:hAnsi="Times New Roman"/>
                <w:b/>
                <w:sz w:val="20"/>
                <w:szCs w:val="20"/>
              </w:rPr>
            </w:pPr>
            <w:r w:rsidRPr="00DB504F">
              <w:rPr>
                <w:rFonts w:ascii="Times New Roman" w:hAnsi="Times New Roman"/>
                <w:sz w:val="20"/>
                <w:szCs w:val="20"/>
              </w:rPr>
              <w:t>Rn</w:t>
            </w:r>
            <w:r w:rsidRPr="00DB504F">
              <w:rPr>
                <w:rFonts w:ascii="Times New Roman" w:hAnsi="Times New Roman"/>
                <w:i/>
                <w:sz w:val="20"/>
                <w:szCs w:val="20"/>
                <w:vertAlign w:val="subscript"/>
              </w:rPr>
              <w:t xml:space="preserve">atmospheric </w:t>
            </w:r>
            <w:r w:rsidRPr="00DB504F">
              <w:rPr>
                <w:rFonts w:ascii="Times New Roman" w:hAnsi="Times New Roman"/>
                <w:sz w:val="20"/>
                <w:szCs w:val="20"/>
              </w:rPr>
              <w:t>(Bqm</w:t>
            </w:r>
            <w:r w:rsidRPr="00DB504F">
              <w:rPr>
                <w:rFonts w:ascii="Times New Roman" w:hAnsi="Times New Roman"/>
                <w:sz w:val="20"/>
                <w:szCs w:val="20"/>
                <w:vertAlign w:val="superscript"/>
              </w:rPr>
              <w:t>-2</w:t>
            </w:r>
            <w:r w:rsidRPr="00DB504F">
              <w:rPr>
                <w:rFonts w:ascii="Times New Roman" w:hAnsi="Times New Roman"/>
                <w:sz w:val="20"/>
                <w:szCs w:val="20"/>
              </w:rPr>
              <w:t>day</w:t>
            </w:r>
            <w:r w:rsidRPr="00DB504F">
              <w:rPr>
                <w:rFonts w:ascii="Times New Roman" w:hAnsi="Times New Roman"/>
                <w:sz w:val="20"/>
                <w:szCs w:val="20"/>
                <w:vertAlign w:val="superscript"/>
              </w:rPr>
              <w:t>-1</w:t>
            </w:r>
            <w:r w:rsidRPr="00DB504F">
              <w:rPr>
                <w:rFonts w:ascii="Times New Roman" w:hAnsi="Times New Roman"/>
                <w:sz w:val="20"/>
                <w:szCs w:val="20"/>
              </w:rPr>
              <w:t>)</w:t>
            </w:r>
          </w:p>
        </w:tc>
        <w:tc>
          <w:tcPr>
            <w:tcW w:w="2425" w:type="dxa"/>
            <w:tcBorders>
              <w:top w:val="nil"/>
            </w:tcBorders>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4198±259 (2)</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i/>
                <w:sz w:val="20"/>
                <w:szCs w:val="20"/>
              </w:rPr>
            </w:pPr>
            <w:r w:rsidRPr="00DB504F">
              <w:rPr>
                <w:rFonts w:ascii="Times New Roman" w:hAnsi="Times New Roman"/>
                <w:i/>
                <w:sz w:val="20"/>
                <w:szCs w:val="20"/>
              </w:rPr>
              <w:t>Box model</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i/>
                <w:sz w:val="20"/>
                <w:szCs w:val="20"/>
              </w:rPr>
              <w:t xml:space="preserve">      </w:t>
            </w:r>
            <w:r w:rsidRPr="00DB504F">
              <w:rPr>
                <w:rFonts w:ascii="Times New Roman" w:hAnsi="Times New Roman"/>
                <w:sz w:val="20"/>
                <w:szCs w:val="20"/>
              </w:rPr>
              <w:t>River cross sections</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m</w:t>
            </w:r>
            <w:r w:rsidRPr="00DB504F">
              <w:rPr>
                <w:rFonts w:ascii="Times New Roman" w:hAnsi="Times New Roman"/>
                <w:sz w:val="20"/>
                <w:szCs w:val="20"/>
                <w:vertAlign w:val="superscript"/>
              </w:rPr>
              <w:t>2</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5.31±5.78 (14)</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Current velocity</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ms</w:t>
            </w:r>
            <w:r w:rsidRPr="00DB504F">
              <w:rPr>
                <w:rFonts w:ascii="Times New Roman" w:hAnsi="Times New Roman"/>
                <w:sz w:val="20"/>
                <w:szCs w:val="20"/>
                <w:vertAlign w:val="superscript"/>
              </w:rPr>
              <w:t>-1</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0.11±0.13 (13)</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Total riverine discharge</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D</w:t>
            </w:r>
            <w:r w:rsidRPr="00DB504F">
              <w:rPr>
                <w:rFonts w:ascii="Times New Roman" w:hAnsi="Times New Roman"/>
                <w:sz w:val="20"/>
                <w:szCs w:val="20"/>
                <w:vertAlign w:val="subscript"/>
              </w:rPr>
              <w:t>v</w:t>
            </w:r>
            <w:r w:rsidRPr="00DB504F">
              <w:rPr>
                <w:rFonts w:ascii="Times New Roman" w:hAnsi="Times New Roman"/>
                <w:sz w:val="20"/>
                <w:szCs w:val="20"/>
              </w:rPr>
              <w:t xml:space="preserve"> (m</w:t>
            </w:r>
            <w:r w:rsidRPr="00DB504F">
              <w:rPr>
                <w:rFonts w:ascii="Times New Roman" w:hAnsi="Times New Roman"/>
                <w:sz w:val="20"/>
                <w:szCs w:val="20"/>
                <w:vertAlign w:val="superscript"/>
              </w:rPr>
              <w:t>3</w:t>
            </w:r>
            <w:r w:rsidRPr="00DB504F">
              <w:rPr>
                <w:rFonts w:ascii="Times New Roman" w:hAnsi="Times New Roman"/>
                <w:sz w:val="20"/>
                <w:szCs w:val="20"/>
              </w:rPr>
              <w:t>day</w:t>
            </w:r>
            <w:r w:rsidRPr="00DB504F">
              <w:rPr>
                <w:rFonts w:ascii="Times New Roman" w:hAnsi="Times New Roman"/>
                <w:sz w:val="20"/>
                <w:szCs w:val="20"/>
                <w:vertAlign w:val="superscript"/>
              </w:rPr>
              <w:t>-1</w:t>
            </w:r>
            <w:r w:rsidRPr="00DB504F">
              <w:rPr>
                <w:rFonts w:ascii="Times New Roman" w:hAnsi="Times New Roman"/>
                <w:sz w:val="20"/>
                <w:szCs w:val="20"/>
              </w:rPr>
              <w:t>)</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20355±19109 (13)</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b/>
                <w:sz w:val="20"/>
                <w:szCs w:val="20"/>
              </w:rPr>
            </w:pPr>
            <w:r w:rsidRPr="00DB504F">
              <w:rPr>
                <w:rFonts w:ascii="Times New Roman" w:hAnsi="Times New Roman"/>
                <w:b/>
                <w:sz w:val="20"/>
                <w:szCs w:val="20"/>
              </w:rPr>
              <w:t>Groundwater discharge from aquifer</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Q</w:t>
            </w:r>
            <w:r w:rsidRPr="00DB504F">
              <w:rPr>
                <w:rFonts w:ascii="Times New Roman" w:hAnsi="Times New Roman"/>
                <w:i/>
                <w:sz w:val="20"/>
                <w:szCs w:val="20"/>
                <w:vertAlign w:val="subscript"/>
              </w:rPr>
              <w:t xml:space="preserve">flux </w:t>
            </w:r>
            <w:r w:rsidRPr="00DB504F">
              <w:rPr>
                <w:rFonts w:ascii="Times New Roman" w:hAnsi="Times New Roman"/>
                <w:sz w:val="20"/>
                <w:szCs w:val="20"/>
              </w:rPr>
              <w:t>(m</w:t>
            </w:r>
            <w:r w:rsidRPr="00DB504F">
              <w:rPr>
                <w:rFonts w:ascii="Times New Roman" w:hAnsi="Times New Roman"/>
                <w:sz w:val="20"/>
                <w:szCs w:val="20"/>
                <w:vertAlign w:val="superscript"/>
              </w:rPr>
              <w:t>3</w:t>
            </w:r>
            <w:r w:rsidRPr="00DB504F">
              <w:rPr>
                <w:rFonts w:ascii="Times New Roman" w:hAnsi="Times New Roman"/>
                <w:sz w:val="20"/>
                <w:szCs w:val="20"/>
              </w:rPr>
              <w:t>day</w:t>
            </w:r>
            <w:r w:rsidRPr="00DB504F">
              <w:rPr>
                <w:rFonts w:ascii="Times New Roman" w:hAnsi="Times New Roman"/>
                <w:sz w:val="20"/>
                <w:szCs w:val="20"/>
                <w:vertAlign w:val="superscript"/>
              </w:rPr>
              <w:t>-1</w:t>
            </w:r>
            <w:r w:rsidRPr="00DB504F">
              <w:rPr>
                <w:rFonts w:ascii="Times New Roman" w:hAnsi="Times New Roman"/>
                <w:sz w:val="20"/>
                <w:szCs w:val="20"/>
              </w:rPr>
              <w:t>)</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6649±6178 (13)</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b/>
                <w:sz w:val="20"/>
                <w:szCs w:val="20"/>
              </w:rPr>
            </w:pPr>
          </w:p>
          <w:p w:rsidR="00DB504F" w:rsidRPr="00DB504F" w:rsidRDefault="00DB504F" w:rsidP="003034BF">
            <w:pPr>
              <w:spacing w:after="0" w:line="240" w:lineRule="auto"/>
              <w:jc w:val="both"/>
              <w:outlineLvl w:val="0"/>
              <w:rPr>
                <w:rFonts w:ascii="Times New Roman" w:hAnsi="Times New Roman"/>
                <w:b/>
                <w:sz w:val="20"/>
                <w:szCs w:val="20"/>
              </w:rPr>
            </w:pPr>
            <w:r w:rsidRPr="00DB504F">
              <w:rPr>
                <w:rFonts w:ascii="Times New Roman" w:hAnsi="Times New Roman"/>
                <w:b/>
                <w:sz w:val="20"/>
                <w:szCs w:val="20"/>
              </w:rPr>
              <w:t>Dissolved inorganic nutrient fluxes</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Groundwater-derived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w:t>
            </w:r>
            <w:r w:rsidRPr="00DB504F">
              <w:rPr>
                <w:rFonts w:ascii="Times New Roman" w:hAnsi="Times New Roman"/>
                <w:sz w:val="20"/>
                <w:szCs w:val="20"/>
                <w:vertAlign w:val="subscript"/>
              </w:rPr>
              <w:t xml:space="preserve"> </w:t>
            </w:r>
            <w:r w:rsidRPr="00DB504F">
              <w:rPr>
                <w:rFonts w:ascii="Times New Roman" w:hAnsi="Times New Roman"/>
                <w:sz w:val="20"/>
                <w:szCs w:val="20"/>
              </w:rPr>
              <w:t>flux</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molday</w:t>
            </w:r>
            <w:r w:rsidRPr="00DB504F">
              <w:rPr>
                <w:rFonts w:ascii="Times New Roman" w:hAnsi="Times New Roman"/>
                <w:sz w:val="20"/>
                <w:szCs w:val="20"/>
                <w:vertAlign w:val="superscript"/>
              </w:rPr>
              <w:t>-1</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2.88×10</w:t>
            </w:r>
            <w:r w:rsidRPr="00DB504F">
              <w:rPr>
                <w:rFonts w:ascii="Times New Roman" w:hAnsi="Times New Roman"/>
                <w:sz w:val="20"/>
                <w:szCs w:val="20"/>
                <w:vertAlign w:val="superscript"/>
              </w:rPr>
              <w:t>2</w:t>
            </w:r>
            <w:r w:rsidRPr="00DB504F">
              <w:rPr>
                <w:rFonts w:ascii="Times New Roman" w:hAnsi="Times New Roman"/>
                <w:sz w:val="20"/>
                <w:szCs w:val="20"/>
              </w:rPr>
              <w:t>±2.67×10</w:t>
            </w:r>
            <w:r w:rsidRPr="00DB504F">
              <w:rPr>
                <w:rFonts w:ascii="Times New Roman" w:hAnsi="Times New Roman"/>
                <w:sz w:val="20"/>
                <w:szCs w:val="20"/>
                <w:vertAlign w:val="superscript"/>
              </w:rPr>
              <w:t xml:space="preserve">2 </w:t>
            </w:r>
            <w:r w:rsidRPr="00DB504F">
              <w:rPr>
                <w:rFonts w:ascii="Times New Roman" w:hAnsi="Times New Roman"/>
                <w:sz w:val="20"/>
                <w:szCs w:val="20"/>
              </w:rPr>
              <w:t>(13)</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Groundwater-derived NO</w:t>
            </w:r>
            <w:r w:rsidRPr="00DB504F">
              <w:rPr>
                <w:rFonts w:ascii="Times New Roman" w:hAnsi="Times New Roman"/>
                <w:sz w:val="20"/>
                <w:szCs w:val="20"/>
                <w:vertAlign w:val="subscript"/>
              </w:rPr>
              <w:t>3</w:t>
            </w:r>
            <w:r w:rsidRPr="00DB504F">
              <w:rPr>
                <w:rFonts w:ascii="Times New Roman" w:hAnsi="Times New Roman"/>
                <w:sz w:val="20"/>
                <w:szCs w:val="20"/>
                <w:vertAlign w:val="superscript"/>
              </w:rPr>
              <w:t>-</w:t>
            </w:r>
            <w:r w:rsidRPr="00DB504F">
              <w:rPr>
                <w:rFonts w:ascii="Times New Roman" w:hAnsi="Times New Roman"/>
                <w:sz w:val="20"/>
                <w:szCs w:val="20"/>
              </w:rPr>
              <w:t>-N flux</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molday</w:t>
            </w:r>
            <w:r w:rsidRPr="00DB504F">
              <w:rPr>
                <w:rFonts w:ascii="Times New Roman" w:hAnsi="Times New Roman"/>
                <w:sz w:val="20"/>
                <w:szCs w:val="20"/>
                <w:vertAlign w:val="superscript"/>
              </w:rPr>
              <w:t>-1</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1.23×10</w:t>
            </w:r>
            <w:r w:rsidRPr="00DB504F">
              <w:rPr>
                <w:rFonts w:ascii="Times New Roman" w:hAnsi="Times New Roman"/>
                <w:sz w:val="20"/>
                <w:szCs w:val="20"/>
                <w:vertAlign w:val="superscript"/>
              </w:rPr>
              <w:t>2</w:t>
            </w:r>
            <w:r w:rsidRPr="00DB504F">
              <w:rPr>
                <w:rFonts w:ascii="Times New Roman" w:hAnsi="Times New Roman"/>
                <w:sz w:val="20"/>
                <w:szCs w:val="20"/>
              </w:rPr>
              <w:t>±1.14×10</w:t>
            </w:r>
            <w:r w:rsidRPr="00DB504F">
              <w:rPr>
                <w:rFonts w:ascii="Times New Roman" w:hAnsi="Times New Roman"/>
                <w:sz w:val="20"/>
                <w:szCs w:val="20"/>
                <w:vertAlign w:val="superscript"/>
              </w:rPr>
              <w:t xml:space="preserve">2   </w:t>
            </w:r>
            <w:r w:rsidRPr="00DB504F">
              <w:rPr>
                <w:rFonts w:ascii="Times New Roman" w:hAnsi="Times New Roman"/>
                <w:sz w:val="20"/>
                <w:szCs w:val="20"/>
              </w:rPr>
              <w:t>(13)</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Groundwater-derived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-N</w:t>
            </w:r>
            <w:r w:rsidRPr="00DB504F">
              <w:rPr>
                <w:rFonts w:ascii="Times New Roman" w:hAnsi="Times New Roman"/>
                <w:sz w:val="20"/>
                <w:szCs w:val="20"/>
                <w:vertAlign w:val="subscript"/>
              </w:rPr>
              <w:t xml:space="preserve"> </w:t>
            </w:r>
            <w:r w:rsidRPr="00DB504F">
              <w:rPr>
                <w:rFonts w:ascii="Times New Roman" w:hAnsi="Times New Roman"/>
                <w:sz w:val="20"/>
                <w:szCs w:val="20"/>
              </w:rPr>
              <w:t>flux</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molday</w:t>
            </w:r>
            <w:r w:rsidRPr="00DB504F">
              <w:rPr>
                <w:rFonts w:ascii="Times New Roman" w:hAnsi="Times New Roman"/>
                <w:sz w:val="20"/>
                <w:szCs w:val="20"/>
                <w:vertAlign w:val="superscript"/>
              </w:rPr>
              <w:t>-1</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0.75±0.69 (13)</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Total riverine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flux</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molday</w:t>
            </w:r>
            <w:r w:rsidRPr="00DB504F">
              <w:rPr>
                <w:rFonts w:ascii="Times New Roman" w:hAnsi="Times New Roman"/>
                <w:sz w:val="20"/>
                <w:szCs w:val="20"/>
                <w:vertAlign w:val="superscript"/>
              </w:rPr>
              <w:t>-1</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1.93×10</w:t>
            </w:r>
            <w:r w:rsidRPr="00DB504F">
              <w:rPr>
                <w:rFonts w:ascii="Times New Roman" w:hAnsi="Times New Roman"/>
                <w:sz w:val="20"/>
                <w:szCs w:val="20"/>
                <w:vertAlign w:val="superscript"/>
              </w:rPr>
              <w:t>2</w:t>
            </w:r>
            <w:r w:rsidRPr="00DB504F">
              <w:rPr>
                <w:rFonts w:ascii="Times New Roman" w:hAnsi="Times New Roman"/>
                <w:sz w:val="20"/>
                <w:szCs w:val="20"/>
              </w:rPr>
              <w:t>±1.74×10</w:t>
            </w:r>
            <w:r w:rsidRPr="00DB504F">
              <w:rPr>
                <w:rFonts w:ascii="Times New Roman" w:hAnsi="Times New Roman"/>
                <w:sz w:val="20"/>
                <w:szCs w:val="20"/>
                <w:vertAlign w:val="superscript"/>
              </w:rPr>
              <w:t xml:space="preserve">2 </w:t>
            </w:r>
            <w:r w:rsidRPr="00DB504F">
              <w:rPr>
                <w:rFonts w:ascii="Times New Roman" w:hAnsi="Times New Roman"/>
                <w:sz w:val="20"/>
                <w:szCs w:val="20"/>
              </w:rPr>
              <w:t>(13)</w:t>
            </w:r>
          </w:p>
        </w:tc>
      </w:tr>
      <w:tr w:rsidR="00DB504F" w:rsidRPr="00DB504F" w:rsidTr="003034BF">
        <w:tc>
          <w:tcPr>
            <w:tcW w:w="3794"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 xml:space="preserve">       Total riverine NO</w:t>
            </w:r>
            <w:r w:rsidRPr="00DB504F">
              <w:rPr>
                <w:rFonts w:ascii="Times New Roman" w:hAnsi="Times New Roman"/>
                <w:sz w:val="20"/>
                <w:szCs w:val="20"/>
                <w:vertAlign w:val="subscript"/>
              </w:rPr>
              <w:t>3</w:t>
            </w:r>
            <w:r w:rsidRPr="00DB504F">
              <w:rPr>
                <w:rFonts w:ascii="Times New Roman" w:hAnsi="Times New Roman"/>
                <w:sz w:val="20"/>
                <w:szCs w:val="20"/>
                <w:vertAlign w:val="superscript"/>
              </w:rPr>
              <w:t>-</w:t>
            </w:r>
            <w:r w:rsidRPr="00DB504F">
              <w:rPr>
                <w:rFonts w:ascii="Times New Roman" w:hAnsi="Times New Roman"/>
                <w:sz w:val="20"/>
                <w:szCs w:val="20"/>
              </w:rPr>
              <w:t>-N flux</w:t>
            </w:r>
          </w:p>
        </w:tc>
        <w:tc>
          <w:tcPr>
            <w:tcW w:w="2253"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molday</w:t>
            </w:r>
            <w:r w:rsidRPr="00DB504F">
              <w:rPr>
                <w:rFonts w:ascii="Times New Roman" w:hAnsi="Times New Roman"/>
                <w:sz w:val="20"/>
                <w:szCs w:val="20"/>
                <w:vertAlign w:val="superscript"/>
              </w:rPr>
              <w:t>-1</w:t>
            </w:r>
          </w:p>
        </w:tc>
        <w:tc>
          <w:tcPr>
            <w:tcW w:w="2425" w:type="dxa"/>
          </w:tcPr>
          <w:p w:rsidR="00DB504F" w:rsidRPr="00DB504F" w:rsidRDefault="00DB504F" w:rsidP="003034BF">
            <w:pPr>
              <w:spacing w:after="0" w:line="240" w:lineRule="auto"/>
              <w:jc w:val="both"/>
              <w:outlineLvl w:val="0"/>
              <w:rPr>
                <w:rFonts w:ascii="Times New Roman" w:hAnsi="Times New Roman"/>
                <w:sz w:val="20"/>
                <w:szCs w:val="20"/>
              </w:rPr>
            </w:pPr>
            <w:r w:rsidRPr="00DB504F">
              <w:rPr>
                <w:rFonts w:ascii="Times New Roman" w:hAnsi="Times New Roman"/>
                <w:sz w:val="20"/>
                <w:szCs w:val="20"/>
              </w:rPr>
              <w:t>18.7±16.9 (13)</w:t>
            </w:r>
          </w:p>
        </w:tc>
      </w:tr>
      <w:tr w:rsidR="00DB504F" w:rsidRPr="00DB504F" w:rsidTr="003034BF">
        <w:tc>
          <w:tcPr>
            <w:tcW w:w="3794" w:type="dxa"/>
          </w:tcPr>
          <w:p w:rsidR="00DB504F" w:rsidRPr="00DB504F" w:rsidRDefault="00DB504F" w:rsidP="005C297B">
            <w:pPr>
              <w:spacing w:after="60" w:line="240" w:lineRule="auto"/>
              <w:jc w:val="both"/>
              <w:outlineLvl w:val="0"/>
              <w:rPr>
                <w:rFonts w:ascii="Times New Roman" w:hAnsi="Times New Roman"/>
                <w:sz w:val="20"/>
                <w:szCs w:val="20"/>
              </w:rPr>
            </w:pPr>
            <w:r w:rsidRPr="00DB504F">
              <w:rPr>
                <w:rFonts w:ascii="Times New Roman" w:hAnsi="Times New Roman"/>
                <w:sz w:val="20"/>
                <w:szCs w:val="20"/>
              </w:rPr>
              <w:t xml:space="preserve">       Total riverine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-N flux</w:t>
            </w:r>
          </w:p>
        </w:tc>
        <w:tc>
          <w:tcPr>
            <w:tcW w:w="2253" w:type="dxa"/>
          </w:tcPr>
          <w:p w:rsidR="00DB504F" w:rsidRPr="00DB504F" w:rsidRDefault="00DB504F" w:rsidP="005C297B">
            <w:pPr>
              <w:spacing w:after="60" w:line="240" w:lineRule="auto"/>
              <w:jc w:val="both"/>
              <w:outlineLvl w:val="0"/>
              <w:rPr>
                <w:rFonts w:ascii="Times New Roman" w:hAnsi="Times New Roman"/>
                <w:sz w:val="20"/>
                <w:szCs w:val="20"/>
              </w:rPr>
            </w:pPr>
            <w:r w:rsidRPr="00DB504F">
              <w:rPr>
                <w:rFonts w:ascii="Times New Roman" w:hAnsi="Times New Roman"/>
                <w:sz w:val="20"/>
                <w:szCs w:val="20"/>
              </w:rPr>
              <w:t>molday</w:t>
            </w:r>
            <w:r w:rsidRPr="00DB504F">
              <w:rPr>
                <w:rFonts w:ascii="Times New Roman" w:hAnsi="Times New Roman"/>
                <w:sz w:val="20"/>
                <w:szCs w:val="20"/>
                <w:vertAlign w:val="superscript"/>
              </w:rPr>
              <w:t>-1</w:t>
            </w:r>
          </w:p>
        </w:tc>
        <w:tc>
          <w:tcPr>
            <w:tcW w:w="2425" w:type="dxa"/>
          </w:tcPr>
          <w:p w:rsidR="00DB504F" w:rsidRPr="00DB504F" w:rsidRDefault="00DB504F" w:rsidP="005C297B">
            <w:pPr>
              <w:spacing w:after="60" w:line="240" w:lineRule="auto"/>
              <w:jc w:val="both"/>
              <w:outlineLvl w:val="0"/>
              <w:rPr>
                <w:rFonts w:ascii="Times New Roman" w:hAnsi="Times New Roman"/>
                <w:sz w:val="20"/>
                <w:szCs w:val="20"/>
              </w:rPr>
            </w:pPr>
            <w:r w:rsidRPr="00DB504F">
              <w:rPr>
                <w:rFonts w:ascii="Times New Roman" w:hAnsi="Times New Roman"/>
                <w:sz w:val="20"/>
                <w:szCs w:val="20"/>
              </w:rPr>
              <w:t>1.60±1.44  (13)</w:t>
            </w:r>
          </w:p>
        </w:tc>
      </w:tr>
    </w:tbl>
    <w:p w:rsidR="00DB504F" w:rsidRDefault="00DB504F" w:rsidP="005C297B">
      <w:pPr>
        <w:spacing w:after="120" w:line="240" w:lineRule="auto"/>
        <w:jc w:val="both"/>
        <w:outlineLvl w:val="0"/>
        <w:rPr>
          <w:rFonts w:ascii="Times New Roman" w:hAnsi="Times New Roman"/>
          <w:sz w:val="20"/>
          <w:szCs w:val="20"/>
        </w:rPr>
      </w:pPr>
      <w:bookmarkStart w:id="4" w:name="_GoBack"/>
      <w:bookmarkEnd w:id="4"/>
    </w:p>
    <w:p w:rsidR="005C297B" w:rsidRPr="00DB504F" w:rsidRDefault="0027164D" w:rsidP="0027164D">
      <w:pPr>
        <w:spacing w:after="0" w:line="240" w:lineRule="auto"/>
        <w:jc w:val="both"/>
        <w:outlineLvl w:val="0"/>
        <w:rPr>
          <w:rFonts w:ascii="Times New Roman" w:hAnsi="Times New Roman"/>
          <w:sz w:val="20"/>
          <w:szCs w:val="20"/>
        </w:rPr>
      </w:pPr>
      <w:r w:rsidRPr="00DB504F">
        <w:rPr>
          <w:rFonts w:ascii="Times New Roman" w:hAnsi="Times New Roman"/>
          <w:sz w:val="20"/>
          <w:szCs w:val="20"/>
        </w:rPr>
        <w:t>Higher groundwater discharge rate in Ular River could be attributed to both geomorphological setting and aquifer’s properties. The underlying material in study area is highly permeable. Lithological examination on borehole core samples suggests that the aquifer material throughout the river composed of generally fine sand with thin sandy silt (~10cm) found at the top layer while the rest of the aquifer materials (~300cm) are composed of coarse and fine sands with the porosity percentage between 17%-26% throughout the river bed. Figure 5 show</w:t>
      </w:r>
      <w:r>
        <w:rPr>
          <w:rFonts w:ascii="Times New Roman" w:hAnsi="Times New Roman"/>
          <w:sz w:val="20"/>
          <w:szCs w:val="20"/>
        </w:rPr>
        <w:t>s</w:t>
      </w:r>
      <w:r w:rsidRPr="00DB504F">
        <w:rPr>
          <w:rFonts w:ascii="Times New Roman" w:hAnsi="Times New Roman"/>
          <w:sz w:val="20"/>
          <w:szCs w:val="20"/>
        </w:rPr>
        <w:t xml:space="preserve"> that high groundwater discharge rate (radon concentration) near G11 could be driven by topographic-gradients. G11 received water from Berombak Lake flow southward through a narrow beach ridges valley with high and steep riverbank (+4m) created steep hydraulic gradient which induce more groundwater input to surface water. Furthermore, almost 90% of the Ular River catchment is occupied by oil palm plantation, the elevation of water table during irrigation may increase the hydraulic head pressure, intensify the groundwater discharge rate into the river basin. A combination of above mention factors resulted in a higher percentage of groundwater flow over the tot</w:t>
      </w:r>
      <w:r>
        <w:rPr>
          <w:rFonts w:ascii="Times New Roman" w:hAnsi="Times New Roman"/>
          <w:sz w:val="20"/>
          <w:szCs w:val="20"/>
        </w:rPr>
        <w:t>al riverine flow in Ular River.</w:t>
      </w:r>
    </w:p>
    <w:tbl>
      <w:tblPr>
        <w:tblStyle w:val="TableGrid"/>
        <w:tblW w:w="83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4253"/>
      </w:tblGrid>
      <w:tr w:rsidR="00DB504F" w:rsidRPr="00DB504F" w:rsidTr="003034BF">
        <w:trPr>
          <w:trHeight w:val="20"/>
          <w:jc w:val="center"/>
        </w:trPr>
        <w:tc>
          <w:tcPr>
            <w:tcW w:w="4077" w:type="dxa"/>
          </w:tcPr>
          <w:p w:rsidR="00DB504F" w:rsidRPr="00DB504F" w:rsidRDefault="00DB504F" w:rsidP="003034BF">
            <w:pPr>
              <w:spacing w:after="0" w:line="240" w:lineRule="auto"/>
              <w:jc w:val="both"/>
              <w:outlineLvl w:val="0"/>
              <w:rPr>
                <w:rFonts w:ascii="Times New Roman" w:hAnsi="Times New Roman" w:cs="Times New Roman"/>
                <w:sz w:val="20"/>
                <w:szCs w:val="20"/>
              </w:rPr>
            </w:pPr>
            <w:r w:rsidRPr="00DB504F">
              <w:rPr>
                <w:rFonts w:ascii="Times New Roman" w:hAnsi="Times New Roman"/>
                <w:noProof/>
                <w:sz w:val="20"/>
                <w:szCs w:val="20"/>
                <w:lang w:val="en-GB" w:eastAsia="ko-KR" w:bidi="ar-SA"/>
              </w:rPr>
              <w:lastRenderedPageBreak/>
              <mc:AlternateContent>
                <mc:Choice Requires="wps">
                  <w:drawing>
                    <wp:anchor distT="0" distB="0" distL="114300" distR="114300" simplePos="0" relativeHeight="251691520" behindDoc="0" locked="0" layoutInCell="1" allowOverlap="1" wp14:anchorId="6EDD66CE" wp14:editId="3EBDE1FD">
                      <wp:simplePos x="0" y="0"/>
                      <wp:positionH relativeFrom="column">
                        <wp:posOffset>950595</wp:posOffset>
                      </wp:positionH>
                      <wp:positionV relativeFrom="paragraph">
                        <wp:posOffset>11528</wp:posOffset>
                      </wp:positionV>
                      <wp:extent cx="672465" cy="284480"/>
                      <wp:effectExtent l="0" t="0" r="0" b="1270"/>
                      <wp:wrapNone/>
                      <wp:docPr id="239" name="Text Box 239"/>
                      <wp:cNvGraphicFramePr/>
                      <a:graphic xmlns:a="http://schemas.openxmlformats.org/drawingml/2006/main">
                        <a:graphicData uri="http://schemas.microsoft.com/office/word/2010/wordprocessingShape">
                          <wps:wsp>
                            <wps:cNvSpPr txBox="1"/>
                            <wps:spPr>
                              <a:xfrm>
                                <a:off x="0" y="0"/>
                                <a:ext cx="672465" cy="284480"/>
                              </a:xfrm>
                              <a:prstGeom prst="rect">
                                <a:avLst/>
                              </a:prstGeom>
                              <a:solidFill>
                                <a:sysClr val="window" lastClr="FFFFFF"/>
                              </a:solidFill>
                              <a:ln w="6350">
                                <a:noFill/>
                              </a:ln>
                              <a:effectLst/>
                            </wps:spPr>
                            <wps:txbx>
                              <w:txbxContent>
                                <w:p w:rsidR="003D78A0" w:rsidRPr="005C02ED" w:rsidRDefault="003D78A0" w:rsidP="00DB504F">
                                  <w:pPr>
                                    <w:rPr>
                                      <w:rFonts w:ascii="Times New Roman" w:hAnsi="Times New Roman"/>
                                      <w:b/>
                                      <w:sz w:val="24"/>
                                    </w:rPr>
                                  </w:pPr>
                                  <w:r w:rsidRPr="006155B2">
                                    <w:rPr>
                                      <w:rFonts w:ascii="Times New Roman" w:hAnsi="Times New Roman"/>
                                      <w:b/>
                                      <w:sz w:val="24"/>
                                      <w:vertAlign w:val="superscript"/>
                                    </w:rPr>
                                    <w:t>222</w:t>
                                  </w:r>
                                  <w:r w:rsidRPr="005C02ED">
                                    <w:rPr>
                                      <w:rFonts w:ascii="Times New Roman" w:hAnsi="Times New Roman"/>
                                      <w:b/>
                                      <w:sz w:val="24"/>
                                    </w:rPr>
                                    <w:t>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9" o:spid="_x0000_s1030" type="#_x0000_t202" style="position:absolute;left:0;text-align:left;margin-left:74.85pt;margin-top:.9pt;width:52.95pt;height:22.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" fillcolor="window" stroked="f" strokeweight=".5pt">
                      <v:textbox>
                        <w:txbxContent>
                          <w:p w:rsidR="003D78A0" w:rsidRPr="005C02ED" w:rsidRDefault="003D78A0" w:rsidP="00DB504F">
                            <w:pPr>
                              <w:rPr>
                                <w:rFonts w:ascii="Times New Roman" w:hAnsi="Times New Roman"/>
                                <w:b/>
                                <w:sz w:val="24"/>
                              </w:rPr>
                            </w:pPr>
                            <w:r w:rsidRPr="006155B2">
                              <w:rPr>
                                <w:rFonts w:ascii="Times New Roman" w:hAnsi="Times New Roman"/>
                                <w:b/>
                                <w:sz w:val="24"/>
                                <w:vertAlign w:val="superscript"/>
                              </w:rPr>
                              <w:t>222</w:t>
                            </w:r>
                            <w:r w:rsidRPr="005C02ED">
                              <w:rPr>
                                <w:rFonts w:ascii="Times New Roman" w:hAnsi="Times New Roman"/>
                                <w:b/>
                                <w:sz w:val="24"/>
                              </w:rPr>
                              <w:t>Rn</w:t>
                            </w:r>
                          </w:p>
                        </w:txbxContent>
                      </v:textbox>
                    </v:shape>
                  </w:pict>
                </mc:Fallback>
              </mc:AlternateContent>
            </w:r>
            <w:r w:rsidRPr="00DB504F">
              <w:rPr>
                <w:rFonts w:ascii="Times New Roman" w:hAnsi="Times New Roman"/>
                <w:noProof/>
                <w:sz w:val="20"/>
                <w:szCs w:val="20"/>
                <w:lang w:val="en-GB" w:eastAsia="ko-KR" w:bidi="ar-SA"/>
              </w:rPr>
              <w:drawing>
                <wp:anchor distT="0" distB="0" distL="114300" distR="114300" simplePos="0" relativeHeight="251688448" behindDoc="1" locked="0" layoutInCell="1" allowOverlap="1" wp14:anchorId="15936D6C" wp14:editId="53D978C9">
                  <wp:simplePos x="0" y="0"/>
                  <wp:positionH relativeFrom="column">
                    <wp:posOffset>1270</wp:posOffset>
                  </wp:positionH>
                  <wp:positionV relativeFrom="paragraph">
                    <wp:posOffset>-635</wp:posOffset>
                  </wp:positionV>
                  <wp:extent cx="2558415" cy="1670050"/>
                  <wp:effectExtent l="0" t="0" r="0" b="635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BEBA8EAE-BF5A-486C-A8C5-ECC9F3942E4B}">
                                <a14:imgProps xmlns:a14="http://schemas.microsoft.com/office/drawing/2010/main">
                                  <a14:imgLayer r:embed="rId21">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558415" cy="1670050"/>
                          </a:xfrm>
                          <a:prstGeom prst="rect">
                            <a:avLst/>
                          </a:prstGeom>
                          <a:ln w="12700">
                            <a:noFill/>
                          </a:ln>
                        </pic:spPr>
                      </pic:pic>
                    </a:graphicData>
                  </a:graphic>
                  <wp14:sizeRelH relativeFrom="page">
                    <wp14:pctWidth>0</wp14:pctWidth>
                  </wp14:sizeRelH>
                  <wp14:sizeRelV relativeFrom="page">
                    <wp14:pctHeight>0</wp14:pctHeight>
                  </wp14:sizeRelV>
                </wp:anchor>
              </w:drawing>
            </w:r>
          </w:p>
          <w:p w:rsidR="00DB504F" w:rsidRPr="00DB504F" w:rsidRDefault="00DB504F" w:rsidP="003034BF">
            <w:pPr>
              <w:spacing w:after="0" w:line="240" w:lineRule="auto"/>
              <w:jc w:val="both"/>
              <w:outlineLvl w:val="0"/>
              <w:rPr>
                <w:rFonts w:ascii="Times New Roman" w:hAnsi="Times New Roman" w:cs="Times New Roman"/>
                <w:sz w:val="20"/>
                <w:szCs w:val="20"/>
              </w:rPr>
            </w:pPr>
          </w:p>
          <w:p w:rsidR="00DB504F" w:rsidRPr="00DB504F" w:rsidRDefault="00DB504F" w:rsidP="003034BF">
            <w:pPr>
              <w:spacing w:after="0" w:line="240" w:lineRule="auto"/>
              <w:jc w:val="both"/>
              <w:outlineLvl w:val="0"/>
              <w:rPr>
                <w:rFonts w:ascii="Times New Roman" w:hAnsi="Times New Roman" w:cs="Times New Roman"/>
                <w:sz w:val="20"/>
                <w:szCs w:val="20"/>
              </w:rPr>
            </w:pPr>
          </w:p>
          <w:p w:rsidR="00DB504F" w:rsidRPr="00DB504F" w:rsidRDefault="00DB504F" w:rsidP="003034BF">
            <w:pPr>
              <w:spacing w:after="0" w:line="240" w:lineRule="auto"/>
              <w:jc w:val="both"/>
              <w:outlineLvl w:val="0"/>
              <w:rPr>
                <w:rFonts w:ascii="Times New Roman" w:hAnsi="Times New Roman" w:cs="Times New Roman"/>
                <w:sz w:val="20"/>
                <w:szCs w:val="20"/>
              </w:rPr>
            </w:pP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701760" behindDoc="0" locked="0" layoutInCell="1" allowOverlap="1" wp14:anchorId="58FBABD5" wp14:editId="49FBEB09">
                      <wp:simplePos x="0" y="0"/>
                      <wp:positionH relativeFrom="column">
                        <wp:posOffset>122555</wp:posOffset>
                      </wp:positionH>
                      <wp:positionV relativeFrom="paragraph">
                        <wp:posOffset>9623</wp:posOffset>
                      </wp:positionV>
                      <wp:extent cx="45085" cy="45085"/>
                      <wp:effectExtent l="0" t="0" r="0" b="0"/>
                      <wp:wrapNone/>
                      <wp:docPr id="243" name="Oval 243"/>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43" o:spid="_x0000_s1026" style="position:absolute;margin-left:9.65pt;margin-top:.75pt;width:3.55pt;height:3.5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" fillcolor="red" stroked="f" strokeweight="2pt"/>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700736" behindDoc="0" locked="0" layoutInCell="1" allowOverlap="1" wp14:anchorId="60749E3F" wp14:editId="74E7B8E4">
                      <wp:simplePos x="0" y="0"/>
                      <wp:positionH relativeFrom="column">
                        <wp:posOffset>187325</wp:posOffset>
                      </wp:positionH>
                      <wp:positionV relativeFrom="paragraph">
                        <wp:posOffset>7718</wp:posOffset>
                      </wp:positionV>
                      <wp:extent cx="45085" cy="45085"/>
                      <wp:effectExtent l="0" t="0" r="0" b="0"/>
                      <wp:wrapNone/>
                      <wp:docPr id="244" name="Oval 244"/>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44" o:spid="_x0000_s1026" style="position:absolute;margin-left:14.75pt;margin-top:.6pt;width:3.55pt;height:3.5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" fillcolor="red" stroked="f" strokeweight="2pt"/>
                  </w:pict>
                </mc:Fallback>
              </mc:AlternateContent>
            </w:r>
          </w:p>
          <w:p w:rsidR="00DB504F" w:rsidRPr="00DB504F" w:rsidRDefault="00DB504F" w:rsidP="003034BF">
            <w:pPr>
              <w:spacing w:after="0" w:line="240" w:lineRule="auto"/>
              <w:jc w:val="both"/>
              <w:outlineLvl w:val="0"/>
              <w:rPr>
                <w:rFonts w:ascii="Times New Roman" w:hAnsi="Times New Roman" w:cs="Times New Roman"/>
                <w:sz w:val="20"/>
                <w:szCs w:val="20"/>
              </w:rPr>
            </w:pPr>
          </w:p>
          <w:p w:rsidR="00DB504F" w:rsidRPr="00DB504F" w:rsidRDefault="00DB504F" w:rsidP="003034BF">
            <w:pPr>
              <w:spacing w:after="0" w:line="240" w:lineRule="auto"/>
              <w:jc w:val="both"/>
              <w:outlineLvl w:val="0"/>
              <w:rPr>
                <w:rFonts w:ascii="Times New Roman" w:hAnsi="Times New Roman" w:cs="Times New Roman"/>
                <w:sz w:val="20"/>
                <w:szCs w:val="20"/>
              </w:rPr>
            </w:pPr>
          </w:p>
          <w:p w:rsidR="00DB504F" w:rsidRPr="00DB504F" w:rsidRDefault="00DB504F" w:rsidP="003034BF">
            <w:pPr>
              <w:spacing w:after="0" w:line="240" w:lineRule="auto"/>
              <w:jc w:val="both"/>
              <w:outlineLvl w:val="0"/>
              <w:rPr>
                <w:rFonts w:ascii="Times New Roman" w:hAnsi="Times New Roman" w:cs="Times New Roman"/>
                <w:sz w:val="20"/>
                <w:szCs w:val="20"/>
              </w:rPr>
            </w:pPr>
            <w:r w:rsidRPr="00DB504F">
              <w:rPr>
                <w:rFonts w:ascii="Times New Roman" w:hAnsi="Times New Roman" w:cs="Times New Roman"/>
                <w:sz w:val="20"/>
                <w:szCs w:val="20"/>
              </w:rPr>
              <w:tab/>
            </w:r>
          </w:p>
        </w:tc>
        <w:tc>
          <w:tcPr>
            <w:tcW w:w="4253" w:type="dxa"/>
          </w:tcPr>
          <w:p w:rsidR="00DB504F" w:rsidRPr="00DB504F" w:rsidRDefault="00DB504F" w:rsidP="003034BF">
            <w:pPr>
              <w:spacing w:after="0" w:line="240" w:lineRule="auto"/>
              <w:jc w:val="both"/>
              <w:outlineLvl w:val="0"/>
              <w:rPr>
                <w:rFonts w:ascii="Times New Roman" w:hAnsi="Times New Roman" w:cs="Times New Roman"/>
                <w:sz w:val="20"/>
                <w:szCs w:val="20"/>
              </w:rPr>
            </w:pP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2544" behindDoc="0" locked="0" layoutInCell="1" allowOverlap="1" wp14:anchorId="78ACF324" wp14:editId="1DF8B713">
                      <wp:simplePos x="0" y="0"/>
                      <wp:positionH relativeFrom="column">
                        <wp:posOffset>922934</wp:posOffset>
                      </wp:positionH>
                      <wp:positionV relativeFrom="paragraph">
                        <wp:posOffset>21771</wp:posOffset>
                      </wp:positionV>
                      <wp:extent cx="760021" cy="272605"/>
                      <wp:effectExtent l="0" t="0" r="2540" b="0"/>
                      <wp:wrapNone/>
                      <wp:docPr id="16" name="Text Box 16"/>
                      <wp:cNvGraphicFramePr/>
                      <a:graphic xmlns:a="http://schemas.openxmlformats.org/drawingml/2006/main">
                        <a:graphicData uri="http://schemas.microsoft.com/office/word/2010/wordprocessingShape">
                          <wps:wsp>
                            <wps:cNvSpPr txBox="1"/>
                            <wps:spPr>
                              <a:xfrm>
                                <a:off x="0" y="0"/>
                                <a:ext cx="760021" cy="272605"/>
                              </a:xfrm>
                              <a:prstGeom prst="rect">
                                <a:avLst/>
                              </a:prstGeom>
                              <a:solidFill>
                                <a:sysClr val="window" lastClr="FFFFFF"/>
                              </a:solidFill>
                              <a:ln w="6350">
                                <a:noFill/>
                              </a:ln>
                              <a:effectLst/>
                            </wps:spPr>
                            <wps:txbx>
                              <w:txbxContent>
                                <w:p w:rsidR="003D78A0" w:rsidRPr="0065206D" w:rsidRDefault="003D78A0" w:rsidP="00DB504F">
                                  <w:pPr>
                                    <w:jc w:val="center"/>
                                    <w:rPr>
                                      <w:rFonts w:ascii="Times New Roman" w:hAnsi="Times New Roman"/>
                                      <w:b/>
                                      <w:sz w:val="24"/>
                                    </w:rPr>
                                  </w:pPr>
                                  <w:r w:rsidRPr="00D742DA">
                                    <w:rPr>
                                      <w:rFonts w:ascii="Times New Roman" w:hAnsi="Times New Roman"/>
                                      <w:b/>
                                      <w:sz w:val="24"/>
                                    </w:rPr>
                                    <w:t>NH</w:t>
                                  </w:r>
                                  <w:r>
                                    <w:rPr>
                                      <w:rFonts w:ascii="Times New Roman" w:hAnsi="Times New Roman"/>
                                      <w:b/>
                                      <w:sz w:val="24"/>
                                      <w:vertAlign w:val="subscript"/>
                                    </w:rPr>
                                    <w:t>4</w:t>
                                  </w:r>
                                  <w:r w:rsidRPr="002E07C3">
                                    <w:rPr>
                                      <w:rFonts w:ascii="Times New Roman" w:hAnsi="Times New Roman"/>
                                      <w:b/>
                                      <w:sz w:val="24"/>
                                      <w:vertAlign w:val="superscript"/>
                                    </w:rPr>
                                    <w:t>+</w:t>
                                  </w:r>
                                  <w:r>
                                    <w:rPr>
                                      <w:rFonts w:ascii="Times New Roman" w:hAnsi="Times New Roman"/>
                                      <w:b/>
                                      <w:sz w:val="24"/>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1" type="#_x0000_t202" style="position:absolute;left:0;text-align:left;margin-left:72.65pt;margin-top:1.7pt;width:59.85pt;height:21.4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" fillcolor="window" stroked="f" strokeweight=".5pt">
                      <v:textbox>
                        <w:txbxContent>
                          <w:p w:rsidR="003D78A0" w:rsidRPr="0065206D" w:rsidRDefault="003D78A0" w:rsidP="00DB504F">
                            <w:pPr>
                              <w:jc w:val="center"/>
                              <w:rPr>
                                <w:rFonts w:ascii="Times New Roman" w:hAnsi="Times New Roman"/>
                                <w:b/>
                                <w:sz w:val="24"/>
                              </w:rPr>
                            </w:pPr>
                            <w:r w:rsidRPr="00D742DA">
                              <w:rPr>
                                <w:rFonts w:ascii="Times New Roman" w:hAnsi="Times New Roman"/>
                                <w:b/>
                                <w:sz w:val="24"/>
                              </w:rPr>
                              <w:t>NH</w:t>
                            </w:r>
                            <w:r>
                              <w:rPr>
                                <w:rFonts w:ascii="Times New Roman" w:hAnsi="Times New Roman"/>
                                <w:b/>
                                <w:sz w:val="24"/>
                                <w:vertAlign w:val="subscript"/>
                              </w:rPr>
                              <w:t>4</w:t>
                            </w:r>
                            <w:r w:rsidRPr="002E07C3">
                              <w:rPr>
                                <w:rFonts w:ascii="Times New Roman" w:hAnsi="Times New Roman"/>
                                <w:b/>
                                <w:sz w:val="24"/>
                                <w:vertAlign w:val="superscript"/>
                              </w:rPr>
                              <w:t>+</w:t>
                            </w:r>
                            <w:r>
                              <w:rPr>
                                <w:rFonts w:ascii="Times New Roman" w:hAnsi="Times New Roman"/>
                                <w:b/>
                                <w:sz w:val="24"/>
                              </w:rPr>
                              <w:t>-N</w:t>
                            </w:r>
                          </w:p>
                        </w:txbxContent>
                      </v:textbox>
                    </v:shape>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4592" behindDoc="0" locked="0" layoutInCell="1" allowOverlap="1" wp14:anchorId="69940547" wp14:editId="6E9B6987">
                      <wp:simplePos x="0" y="0"/>
                      <wp:positionH relativeFrom="column">
                        <wp:posOffset>50165</wp:posOffset>
                      </wp:positionH>
                      <wp:positionV relativeFrom="paragraph">
                        <wp:posOffset>1405890</wp:posOffset>
                      </wp:positionV>
                      <wp:extent cx="632460" cy="73660"/>
                      <wp:effectExtent l="0" t="0" r="0" b="2540"/>
                      <wp:wrapNone/>
                      <wp:docPr id="18" name="Rectangle 18"/>
                      <wp:cNvGraphicFramePr/>
                      <a:graphic xmlns:a="http://schemas.openxmlformats.org/drawingml/2006/main">
                        <a:graphicData uri="http://schemas.microsoft.com/office/word/2010/wordprocessingShape">
                          <wps:wsp>
                            <wps:cNvSpPr/>
                            <wps:spPr>
                              <a:xfrm>
                                <a:off x="0" y="0"/>
                                <a:ext cx="632460" cy="73660"/>
                              </a:xfrm>
                              <a:prstGeom prst="rect">
                                <a:avLst/>
                              </a:prstGeom>
                              <a:gradFill>
                                <a:gsLst>
                                  <a:gs pos="0">
                                    <a:srgbClr val="FF0000"/>
                                  </a:gs>
                                  <a:gs pos="11000">
                                    <a:srgbClr val="FFC000"/>
                                  </a:gs>
                                  <a:gs pos="100000">
                                    <a:srgbClr val="4121C9"/>
                                  </a:gs>
                                  <a:gs pos="69000">
                                    <a:srgbClr val="00B0F0"/>
                                  </a:gs>
                                  <a:gs pos="40000">
                                    <a:srgbClr val="2EF26B"/>
                                  </a:gs>
                                  <a:gs pos="19000">
                                    <a:srgbClr val="FFFF00"/>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8" o:spid="_x0000_s1026" style="position:absolute;margin-left:3.95pt;margin-top:110.7pt;width:49.8pt;height:5.8pt;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" fillcolor="red" stroked="f" strokeweight="2pt">
                      <v:fill color2="#4121c9" angle="90" colors="0 red;7209f #ffc000;12452f yellow;26214f #2ef26b;45220f #00b0f0;1 #4121c9" focus="100%" type="gradient">
                        <o:fill v:ext="view" type="gradientUnscaled"/>
                      </v:fill>
                    </v:rect>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703808" behindDoc="0" locked="0" layoutInCell="1" allowOverlap="1" wp14:anchorId="5B2C6018" wp14:editId="506F62E4">
                      <wp:simplePos x="0" y="0"/>
                      <wp:positionH relativeFrom="column">
                        <wp:posOffset>161925</wp:posOffset>
                      </wp:positionH>
                      <wp:positionV relativeFrom="paragraph">
                        <wp:posOffset>564251</wp:posOffset>
                      </wp:positionV>
                      <wp:extent cx="45085" cy="45085"/>
                      <wp:effectExtent l="0" t="0" r="0" b="0"/>
                      <wp:wrapNone/>
                      <wp:docPr id="10" name="Oval 10"/>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26" style="position:absolute;margin-left:12.75pt;margin-top:44.45pt;width:3.55pt;height:3.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" fillcolor="red" stroked="f" strokeweight="2pt"/>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702784" behindDoc="0" locked="0" layoutInCell="1" allowOverlap="1" wp14:anchorId="5C31AD6D" wp14:editId="78D71E50">
                      <wp:simplePos x="0" y="0"/>
                      <wp:positionH relativeFrom="column">
                        <wp:posOffset>226695</wp:posOffset>
                      </wp:positionH>
                      <wp:positionV relativeFrom="paragraph">
                        <wp:posOffset>560441</wp:posOffset>
                      </wp:positionV>
                      <wp:extent cx="45085" cy="45085"/>
                      <wp:effectExtent l="0" t="0" r="0" b="0"/>
                      <wp:wrapNone/>
                      <wp:docPr id="246" name="Oval 24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46" o:spid="_x0000_s1026" style="position:absolute;margin-left:17.85pt;margin-top:44.15pt;width:3.55pt;height:3.5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" fillcolor="red" stroked="f" strokeweight="2pt"/>
                  </w:pict>
                </mc:Fallback>
              </mc:AlternateContent>
            </w:r>
            <w:r w:rsidRPr="00DB504F">
              <w:rPr>
                <w:rFonts w:ascii="Times New Roman" w:hAnsi="Times New Roman"/>
                <w:noProof/>
                <w:sz w:val="20"/>
                <w:szCs w:val="20"/>
                <w:lang w:val="en-GB" w:eastAsia="ko-KR" w:bidi="ar-SA"/>
              </w:rPr>
              <w:drawing>
                <wp:inline distT="0" distB="0" distL="0" distR="0" wp14:anchorId="6FB2DC98" wp14:editId="3BC5A4E3">
                  <wp:extent cx="2637692" cy="1652954"/>
                  <wp:effectExtent l="0" t="0" r="0" b="444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37496" cy="1652831"/>
                          </a:xfrm>
                          <a:prstGeom prst="rect">
                            <a:avLst/>
                          </a:prstGeom>
                          <a:noFill/>
                          <a:ln w="12700">
                            <a:noFill/>
                          </a:ln>
                        </pic:spPr>
                      </pic:pic>
                    </a:graphicData>
                  </a:graphic>
                </wp:inline>
              </w:drawing>
            </w:r>
          </w:p>
        </w:tc>
      </w:tr>
      <w:tr w:rsidR="00DB504F" w:rsidRPr="00DB504F" w:rsidTr="003034BF">
        <w:trPr>
          <w:trHeight w:val="20"/>
          <w:jc w:val="center"/>
        </w:trPr>
        <w:tc>
          <w:tcPr>
            <w:tcW w:w="4077" w:type="dxa"/>
          </w:tcPr>
          <w:p w:rsidR="00DB504F" w:rsidRPr="00DB504F" w:rsidRDefault="00DB504F" w:rsidP="003034BF">
            <w:pPr>
              <w:spacing w:after="0" w:line="240" w:lineRule="auto"/>
              <w:jc w:val="both"/>
              <w:outlineLvl w:val="0"/>
              <w:rPr>
                <w:rFonts w:ascii="Times New Roman" w:hAnsi="Times New Roman" w:cs="Times New Roman"/>
                <w:sz w:val="20"/>
                <w:szCs w:val="20"/>
              </w:rPr>
            </w:pP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7664" behindDoc="0" locked="0" layoutInCell="1" allowOverlap="1" wp14:anchorId="450C86E1" wp14:editId="0C9F2F19">
                      <wp:simplePos x="0" y="0"/>
                      <wp:positionH relativeFrom="column">
                        <wp:posOffset>1925320</wp:posOffset>
                      </wp:positionH>
                      <wp:positionV relativeFrom="paragraph">
                        <wp:posOffset>1428848</wp:posOffset>
                      </wp:positionV>
                      <wp:extent cx="438150" cy="304800"/>
                      <wp:effectExtent l="0" t="0" r="0" b="0"/>
                      <wp:wrapNone/>
                      <wp:docPr id="247" name="Text Box 247"/>
                      <wp:cNvGraphicFramePr/>
                      <a:graphic xmlns:a="http://schemas.openxmlformats.org/drawingml/2006/main">
                        <a:graphicData uri="http://schemas.microsoft.com/office/word/2010/wordprocessingShape">
                          <wps:wsp>
                            <wps:cNvSpPr txBox="1"/>
                            <wps:spPr>
                              <a:xfrm>
                                <a:off x="0" y="0"/>
                                <a:ext cx="438150" cy="304800"/>
                              </a:xfrm>
                              <a:prstGeom prst="rect">
                                <a:avLst/>
                              </a:prstGeom>
                              <a:noFill/>
                              <a:ln w="6350">
                                <a:noFill/>
                              </a:ln>
                              <a:effectLst/>
                            </wps:spPr>
                            <wps:txbx>
                              <w:txbxContent>
                                <w:p w:rsidR="003D78A0" w:rsidRPr="008518E7" w:rsidRDefault="003D78A0" w:rsidP="00DB504F">
                                  <w:pPr>
                                    <w:rPr>
                                      <w:rFonts w:ascii="Times New Roman" w:hAnsi="Times New Roman"/>
                                      <w:b/>
                                      <w:color w:val="FFFFFF" w:themeColor="background1"/>
                                    </w:rPr>
                                  </w:pPr>
                                  <w:r>
                                    <w:rPr>
                                      <w:rFonts w:ascii="Times New Roman" w:hAnsi="Times New Roman"/>
                                      <w:b/>
                                      <w:color w:val="FFFFFF" w:themeColor="background1"/>
                                    </w:rPr>
                                    <w:t>G</w:t>
                                  </w:r>
                                  <w:r w:rsidRPr="008518E7">
                                    <w:rPr>
                                      <w:rFonts w:ascii="Times New Roman" w:hAnsi="Times New Roman"/>
                                      <w:b/>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7" o:spid="_x0000_s1032" type="#_x0000_t202" style="position:absolute;left:0;text-align:left;margin-left:151.6pt;margin-top:112.5pt;width:34.5pt;height:2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" filled="f" stroked="f" strokeweight=".5pt">
                      <v:textbox>
                        <w:txbxContent>
                          <w:p w:rsidR="003D78A0" w:rsidRPr="008518E7" w:rsidRDefault="003D78A0" w:rsidP="00DB504F">
                            <w:pPr>
                              <w:rPr>
                                <w:rFonts w:ascii="Times New Roman" w:hAnsi="Times New Roman"/>
                                <w:b/>
                                <w:color w:val="FFFFFF" w:themeColor="background1"/>
                              </w:rPr>
                            </w:pPr>
                            <w:r>
                              <w:rPr>
                                <w:rFonts w:ascii="Times New Roman" w:hAnsi="Times New Roman"/>
                                <w:b/>
                                <w:color w:val="FFFFFF" w:themeColor="background1"/>
                              </w:rPr>
                              <w:t>G</w:t>
                            </w:r>
                            <w:r w:rsidRPr="008518E7">
                              <w:rPr>
                                <w:rFonts w:ascii="Times New Roman" w:hAnsi="Times New Roman"/>
                                <w:b/>
                                <w:color w:val="FFFFFF" w:themeColor="background1"/>
                              </w:rPr>
                              <w:t>4</w:t>
                            </w:r>
                          </w:p>
                        </w:txbxContent>
                      </v:textbox>
                    </v:shape>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3568" behindDoc="0" locked="0" layoutInCell="1" allowOverlap="1" wp14:anchorId="51DE7EE3" wp14:editId="5FB6BC21">
                      <wp:simplePos x="0" y="0"/>
                      <wp:positionH relativeFrom="column">
                        <wp:posOffset>946785</wp:posOffset>
                      </wp:positionH>
                      <wp:positionV relativeFrom="paragraph">
                        <wp:posOffset>40542</wp:posOffset>
                      </wp:positionV>
                      <wp:extent cx="685800" cy="281940"/>
                      <wp:effectExtent l="0" t="0" r="0" b="3810"/>
                      <wp:wrapNone/>
                      <wp:docPr id="248" name="Text Box 248"/>
                      <wp:cNvGraphicFramePr/>
                      <a:graphic xmlns:a="http://schemas.openxmlformats.org/drawingml/2006/main">
                        <a:graphicData uri="http://schemas.microsoft.com/office/word/2010/wordprocessingShape">
                          <wps:wsp>
                            <wps:cNvSpPr txBox="1"/>
                            <wps:spPr>
                              <a:xfrm>
                                <a:off x="0" y="0"/>
                                <a:ext cx="685800" cy="281940"/>
                              </a:xfrm>
                              <a:prstGeom prst="rect">
                                <a:avLst/>
                              </a:prstGeom>
                              <a:solidFill>
                                <a:sysClr val="window" lastClr="FFFFFF"/>
                              </a:solidFill>
                              <a:ln w="6350">
                                <a:noFill/>
                              </a:ln>
                              <a:effectLst/>
                            </wps:spPr>
                            <wps:txbx>
                              <w:txbxContent>
                                <w:p w:rsidR="003D78A0" w:rsidRPr="0065206D" w:rsidRDefault="003D78A0" w:rsidP="00DB504F">
                                  <w:pPr>
                                    <w:jc w:val="center"/>
                                    <w:rPr>
                                      <w:rFonts w:ascii="Times New Roman" w:hAnsi="Times New Roman"/>
                                      <w:b/>
                                      <w:sz w:val="24"/>
                                      <w14:textOutline w14:w="9525" w14:cap="rnd" w14:cmpd="sng" w14:algn="ctr">
                                        <w14:noFill/>
                                        <w14:prstDash w14:val="solid"/>
                                        <w14:bevel/>
                                      </w14:textOutline>
                                    </w:rPr>
                                  </w:pPr>
                                  <w:r w:rsidRPr="00D742DA">
                                    <w:rPr>
                                      <w:rFonts w:ascii="Times New Roman" w:hAnsi="Times New Roman"/>
                                      <w:b/>
                                      <w:sz w:val="24"/>
                                      <w14:textOutline w14:w="9525" w14:cap="rnd" w14:cmpd="sng" w14:algn="ctr">
                                        <w14:noFill/>
                                        <w14:prstDash w14:val="solid"/>
                                        <w14:bevel/>
                                      </w14:textOutline>
                                    </w:rPr>
                                    <w:t>NO</w:t>
                                  </w:r>
                                  <w:r w:rsidRPr="00D742DA">
                                    <w:rPr>
                                      <w:rFonts w:ascii="Times New Roman" w:hAnsi="Times New Roman"/>
                                      <w:b/>
                                      <w:sz w:val="24"/>
                                      <w:vertAlign w:val="subscript"/>
                                      <w14:textOutline w14:w="9525" w14:cap="rnd" w14:cmpd="sng" w14:algn="ctr">
                                        <w14:noFill/>
                                        <w14:prstDash w14:val="solid"/>
                                        <w14:bevel/>
                                      </w14:textOutline>
                                    </w:rPr>
                                    <w:t>3</w:t>
                                  </w:r>
                                  <w:r w:rsidRPr="002E07C3">
                                    <w:rPr>
                                      <w:rFonts w:ascii="Times New Roman" w:hAnsi="Times New Roman"/>
                                      <w:b/>
                                      <w:sz w:val="24"/>
                                      <w:vertAlign w:val="superscript"/>
                                      <w14:textOutline w14:w="9525" w14:cap="rnd" w14:cmpd="sng" w14:algn="ctr">
                                        <w14:noFill/>
                                        <w14:prstDash w14:val="solid"/>
                                        <w14:bevel/>
                                      </w14:textOutline>
                                    </w:rPr>
                                    <w:t>-</w:t>
                                  </w:r>
                                  <w:r>
                                    <w:rPr>
                                      <w:rFonts w:ascii="Times New Roman" w:hAnsi="Times New Roman"/>
                                      <w:b/>
                                      <w:sz w:val="24"/>
                                      <w14:textOutline w14:w="9525" w14:cap="rnd" w14:cmpd="sng" w14:algn="ctr">
                                        <w14:noFill/>
                                        <w14:prstDash w14:val="solid"/>
                                        <w14:bevel/>
                                      </w14:textOutline>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8" o:spid="_x0000_s1033" type="#_x0000_t202" style="position:absolute;left:0;text-align:left;margin-left:74.55pt;margin-top:3.2pt;width:54pt;height:22.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" fillcolor="window" stroked="f" strokeweight=".5pt">
                      <v:textbox>
                        <w:txbxContent>
                          <w:p w:rsidR="003D78A0" w:rsidRPr="0065206D" w:rsidRDefault="003D78A0" w:rsidP="00DB504F">
                            <w:pPr>
                              <w:jc w:val="center"/>
                              <w:rPr>
                                <w:rFonts w:ascii="Times New Roman" w:hAnsi="Times New Roman"/>
                                <w:b/>
                                <w:sz w:val="24"/>
                                <w14:textOutline w14:w="9525" w14:cap="rnd" w14:cmpd="sng" w14:algn="ctr">
                                  <w14:noFill/>
                                  <w14:prstDash w14:val="solid"/>
                                  <w14:bevel/>
                                </w14:textOutline>
                              </w:rPr>
                            </w:pPr>
                            <w:r w:rsidRPr="00D742DA">
                              <w:rPr>
                                <w:rFonts w:ascii="Times New Roman" w:hAnsi="Times New Roman"/>
                                <w:b/>
                                <w:sz w:val="24"/>
                                <w14:textOutline w14:w="9525" w14:cap="rnd" w14:cmpd="sng" w14:algn="ctr">
                                  <w14:noFill/>
                                  <w14:prstDash w14:val="solid"/>
                                  <w14:bevel/>
                                </w14:textOutline>
                              </w:rPr>
                              <w:t>NO</w:t>
                            </w:r>
                            <w:r w:rsidRPr="00D742DA">
                              <w:rPr>
                                <w:rFonts w:ascii="Times New Roman" w:hAnsi="Times New Roman"/>
                                <w:b/>
                                <w:sz w:val="24"/>
                                <w:vertAlign w:val="subscript"/>
                                <w14:textOutline w14:w="9525" w14:cap="rnd" w14:cmpd="sng" w14:algn="ctr">
                                  <w14:noFill/>
                                  <w14:prstDash w14:val="solid"/>
                                  <w14:bevel/>
                                </w14:textOutline>
                              </w:rPr>
                              <w:t>3</w:t>
                            </w:r>
                            <w:r w:rsidRPr="002E07C3">
                              <w:rPr>
                                <w:rFonts w:ascii="Times New Roman" w:hAnsi="Times New Roman"/>
                                <w:b/>
                                <w:sz w:val="24"/>
                                <w:vertAlign w:val="superscript"/>
                                <w14:textOutline w14:w="9525" w14:cap="rnd" w14:cmpd="sng" w14:algn="ctr">
                                  <w14:noFill/>
                                  <w14:prstDash w14:val="solid"/>
                                  <w14:bevel/>
                                </w14:textOutline>
                              </w:rPr>
                              <w:t>-</w:t>
                            </w:r>
                            <w:r>
                              <w:rPr>
                                <w:rFonts w:ascii="Times New Roman" w:hAnsi="Times New Roman"/>
                                <w:b/>
                                <w:sz w:val="24"/>
                                <w14:textOutline w14:w="9525" w14:cap="rnd" w14:cmpd="sng" w14:algn="ctr">
                                  <w14:noFill/>
                                  <w14:prstDash w14:val="solid"/>
                                  <w14:bevel/>
                                </w14:textOutline>
                              </w:rPr>
                              <w:t>-N</w:t>
                            </w:r>
                          </w:p>
                        </w:txbxContent>
                      </v:textbox>
                    </v:shape>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5616" behindDoc="0" locked="0" layoutInCell="1" allowOverlap="1" wp14:anchorId="005C2CE3" wp14:editId="6B32AD58">
                      <wp:simplePos x="0" y="0"/>
                      <wp:positionH relativeFrom="column">
                        <wp:posOffset>45720</wp:posOffset>
                      </wp:positionH>
                      <wp:positionV relativeFrom="paragraph">
                        <wp:posOffset>1412875</wp:posOffset>
                      </wp:positionV>
                      <wp:extent cx="632460" cy="73513"/>
                      <wp:effectExtent l="0" t="0" r="0" b="3175"/>
                      <wp:wrapNone/>
                      <wp:docPr id="249" name="Rectangle 249"/>
                      <wp:cNvGraphicFramePr/>
                      <a:graphic xmlns:a="http://schemas.openxmlformats.org/drawingml/2006/main">
                        <a:graphicData uri="http://schemas.microsoft.com/office/word/2010/wordprocessingShape">
                          <wps:wsp>
                            <wps:cNvSpPr/>
                            <wps:spPr>
                              <a:xfrm>
                                <a:off x="0" y="0"/>
                                <a:ext cx="632460" cy="73513"/>
                              </a:xfrm>
                              <a:prstGeom prst="rect">
                                <a:avLst/>
                              </a:prstGeom>
                              <a:gradFill>
                                <a:gsLst>
                                  <a:gs pos="0">
                                    <a:srgbClr val="FF0000"/>
                                  </a:gs>
                                  <a:gs pos="11000">
                                    <a:srgbClr val="FFC000"/>
                                  </a:gs>
                                  <a:gs pos="100000">
                                    <a:srgbClr val="4121C9"/>
                                  </a:gs>
                                  <a:gs pos="69000">
                                    <a:srgbClr val="00B0F0"/>
                                  </a:gs>
                                  <a:gs pos="40000">
                                    <a:srgbClr val="2EF26B"/>
                                  </a:gs>
                                  <a:gs pos="19000">
                                    <a:srgbClr val="FFFF00"/>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9" o:spid="_x0000_s1026" style="position:absolute;margin-left:3.6pt;margin-top:111.25pt;width:49.8pt;height:5.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" fillcolor="red" stroked="f" strokeweight="2pt">
                      <v:fill color2="#4121c9" angle="90" colors="0 red;7209f #ffc000;12452f yellow;26214f #2ef26b;45220f #00b0f0;1 #4121c9" focus="100%" type="gradient">
                        <o:fill v:ext="view" type="gradientUnscaled"/>
                      </v:fill>
                    </v:rect>
                  </w:pict>
                </mc:Fallback>
              </mc:AlternateContent>
            </w:r>
            <w:r w:rsidRPr="00DB504F">
              <w:rPr>
                <w:rFonts w:ascii="Times New Roman" w:hAnsi="Times New Roman"/>
                <w:noProof/>
                <w:sz w:val="20"/>
                <w:szCs w:val="20"/>
                <w:lang w:val="en-GB" w:eastAsia="ko-KR" w:bidi="ar-SA"/>
              </w:rPr>
              <w:drawing>
                <wp:anchor distT="0" distB="0" distL="114300" distR="114300" simplePos="0" relativeHeight="251690496" behindDoc="1" locked="0" layoutInCell="1" allowOverlap="1" wp14:anchorId="1231019C" wp14:editId="7D176A1A">
                  <wp:simplePos x="0" y="0"/>
                  <wp:positionH relativeFrom="column">
                    <wp:posOffset>1270</wp:posOffset>
                  </wp:positionH>
                  <wp:positionV relativeFrom="paragraph">
                    <wp:posOffset>14605</wp:posOffset>
                  </wp:positionV>
                  <wp:extent cx="2558415" cy="1644015"/>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558415" cy="1644015"/>
                          </a:xfrm>
                          <a:prstGeom prst="rect">
                            <a:avLst/>
                          </a:prstGeom>
                          <a:ln w="12700">
                            <a:noFill/>
                          </a:ln>
                        </pic:spPr>
                      </pic:pic>
                    </a:graphicData>
                  </a:graphic>
                  <wp14:sizeRelH relativeFrom="page">
                    <wp14:pctWidth>0</wp14:pctWidth>
                  </wp14:sizeRelH>
                  <wp14:sizeRelV relativeFrom="page">
                    <wp14:pctHeight>0</wp14:pctHeight>
                  </wp14:sizeRelV>
                </wp:anchor>
              </w:drawing>
            </w:r>
          </w:p>
        </w:tc>
        <w:tc>
          <w:tcPr>
            <w:tcW w:w="4253" w:type="dxa"/>
          </w:tcPr>
          <w:p w:rsidR="00DB504F" w:rsidRPr="00DB504F" w:rsidRDefault="00DB504F" w:rsidP="003034BF">
            <w:pPr>
              <w:spacing w:after="0" w:line="240" w:lineRule="auto"/>
              <w:jc w:val="both"/>
              <w:outlineLvl w:val="0"/>
              <w:rPr>
                <w:rFonts w:ascii="Times New Roman" w:hAnsi="Times New Roman" w:cs="Times New Roman"/>
                <w:sz w:val="20"/>
                <w:szCs w:val="20"/>
              </w:rPr>
            </w:pP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8688" behindDoc="0" locked="0" layoutInCell="1" allowOverlap="1" wp14:anchorId="064E5CA3" wp14:editId="07448FFE">
                      <wp:simplePos x="0" y="0"/>
                      <wp:positionH relativeFrom="column">
                        <wp:posOffset>1592043</wp:posOffset>
                      </wp:positionH>
                      <wp:positionV relativeFrom="paragraph">
                        <wp:posOffset>1067435</wp:posOffset>
                      </wp:positionV>
                      <wp:extent cx="415925" cy="232410"/>
                      <wp:effectExtent l="0" t="0" r="0" b="0"/>
                      <wp:wrapNone/>
                      <wp:docPr id="251" name="Text Box 251"/>
                      <wp:cNvGraphicFramePr/>
                      <a:graphic xmlns:a="http://schemas.openxmlformats.org/drawingml/2006/main">
                        <a:graphicData uri="http://schemas.microsoft.com/office/word/2010/wordprocessingShape">
                          <wps:wsp>
                            <wps:cNvSpPr txBox="1"/>
                            <wps:spPr>
                              <a:xfrm>
                                <a:off x="0" y="0"/>
                                <a:ext cx="415925" cy="232410"/>
                              </a:xfrm>
                              <a:prstGeom prst="rect">
                                <a:avLst/>
                              </a:prstGeom>
                              <a:noFill/>
                              <a:ln w="6350">
                                <a:noFill/>
                              </a:ln>
                              <a:effectLst/>
                            </wps:spPr>
                            <wps:txbx>
                              <w:txbxContent>
                                <w:p w:rsidR="003D78A0" w:rsidRPr="008F16AA" w:rsidRDefault="003D78A0" w:rsidP="00DB504F">
                                  <w:pPr>
                                    <w:rPr>
                                      <w:rFonts w:ascii="Times New Roman" w:hAnsi="Times New Roman"/>
                                      <w:b/>
                                      <w:color w:val="FFFFFF" w:themeColor="background1"/>
                                    </w:rPr>
                                  </w:pPr>
                                  <w:r>
                                    <w:rPr>
                                      <w:rFonts w:ascii="Times New Roman" w:hAnsi="Times New Roman"/>
                                      <w:b/>
                                      <w:color w:val="FFFFFF" w:themeColor="background1"/>
                                    </w:rPr>
                                    <w:t>G</w:t>
                                  </w:r>
                                  <w:r w:rsidRPr="008F16AA">
                                    <w:rPr>
                                      <w:rFonts w:ascii="Times New Roman" w:hAnsi="Times New Roman"/>
                                      <w:b/>
                                      <w:color w:val="FFFFFF" w:themeColor="background1"/>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1" o:spid="_x0000_s1034" type="#_x0000_t202" style="position:absolute;left:0;text-align:left;margin-left:125.35pt;margin-top:84.05pt;width:32.75pt;height:18.3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" filled="f" stroked="f" strokeweight=".5pt">
                      <v:textbox>
                        <w:txbxContent>
                          <w:p w:rsidR="003D78A0" w:rsidRPr="008F16AA" w:rsidRDefault="003D78A0" w:rsidP="00DB504F">
                            <w:pPr>
                              <w:rPr>
                                <w:rFonts w:ascii="Times New Roman" w:hAnsi="Times New Roman"/>
                                <w:b/>
                                <w:color w:val="FFFFFF" w:themeColor="background1"/>
                              </w:rPr>
                            </w:pPr>
                            <w:r>
                              <w:rPr>
                                <w:rFonts w:ascii="Times New Roman" w:hAnsi="Times New Roman"/>
                                <w:b/>
                                <w:color w:val="FFFFFF" w:themeColor="background1"/>
                              </w:rPr>
                              <w:t>G</w:t>
                            </w:r>
                            <w:r w:rsidRPr="008F16AA">
                              <w:rPr>
                                <w:rFonts w:ascii="Times New Roman" w:hAnsi="Times New Roman"/>
                                <w:b/>
                                <w:color w:val="FFFFFF" w:themeColor="background1"/>
                              </w:rPr>
                              <w:t>14</w:t>
                            </w:r>
                          </w:p>
                        </w:txbxContent>
                      </v:textbox>
                    </v:shape>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9712" behindDoc="0" locked="0" layoutInCell="1" allowOverlap="1" wp14:anchorId="6C54AE48" wp14:editId="07AEE40A">
                      <wp:simplePos x="0" y="0"/>
                      <wp:positionH relativeFrom="column">
                        <wp:posOffset>1433928</wp:posOffset>
                      </wp:positionH>
                      <wp:positionV relativeFrom="paragraph">
                        <wp:posOffset>1210310</wp:posOffset>
                      </wp:positionV>
                      <wp:extent cx="365125" cy="231775"/>
                      <wp:effectExtent l="0" t="0" r="0" b="0"/>
                      <wp:wrapNone/>
                      <wp:docPr id="250" name="Text Box 250"/>
                      <wp:cNvGraphicFramePr/>
                      <a:graphic xmlns:a="http://schemas.openxmlformats.org/drawingml/2006/main">
                        <a:graphicData uri="http://schemas.microsoft.com/office/word/2010/wordprocessingShape">
                          <wps:wsp>
                            <wps:cNvSpPr txBox="1"/>
                            <wps:spPr>
                              <a:xfrm>
                                <a:off x="0" y="0"/>
                                <a:ext cx="365125" cy="231775"/>
                              </a:xfrm>
                              <a:prstGeom prst="rect">
                                <a:avLst/>
                              </a:prstGeom>
                              <a:noFill/>
                              <a:ln w="6350">
                                <a:noFill/>
                              </a:ln>
                              <a:effectLst/>
                            </wps:spPr>
                            <wps:txbx>
                              <w:txbxContent>
                                <w:p w:rsidR="003D78A0" w:rsidRPr="008518E7" w:rsidRDefault="003D78A0" w:rsidP="00DB504F">
                                  <w:pPr>
                                    <w:rPr>
                                      <w:rFonts w:ascii="Times New Roman" w:hAnsi="Times New Roman"/>
                                      <w:b/>
                                      <w:color w:val="FFFFFF" w:themeColor="background1"/>
                                    </w:rPr>
                                  </w:pPr>
                                  <w:r>
                                    <w:rPr>
                                      <w:rFonts w:ascii="Times New Roman" w:hAnsi="Times New Roman"/>
                                      <w:b/>
                                      <w:color w:val="FFFFFF" w:themeColor="background1"/>
                                    </w:rPr>
                                    <w:t>G5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0" o:spid="_x0000_s1035" type="#_x0000_t202" style="position:absolute;left:0;text-align:left;margin-left:112.9pt;margin-top:95.3pt;width:28.75pt;height:18.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" filled="f" stroked="f" strokeweight=".5pt">
                      <v:textbox>
                        <w:txbxContent>
                          <w:p w:rsidR="003D78A0" w:rsidRPr="008518E7" w:rsidRDefault="003D78A0" w:rsidP="00DB504F">
                            <w:pPr>
                              <w:rPr>
                                <w:rFonts w:ascii="Times New Roman" w:hAnsi="Times New Roman"/>
                                <w:b/>
                                <w:color w:val="FFFFFF" w:themeColor="background1"/>
                              </w:rPr>
                            </w:pPr>
                            <w:r>
                              <w:rPr>
                                <w:rFonts w:ascii="Times New Roman" w:hAnsi="Times New Roman"/>
                                <w:b/>
                                <w:color w:val="FFFFFF" w:themeColor="background1"/>
                              </w:rPr>
                              <w:t>G5</w:t>
                            </w:r>
                          </w:p>
                        </w:txbxContent>
                      </v:textbox>
                    </v:shape>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89472" behindDoc="0" locked="0" layoutInCell="1" allowOverlap="1" wp14:anchorId="5B6F0C0D" wp14:editId="4E2E464F">
                      <wp:simplePos x="0" y="0"/>
                      <wp:positionH relativeFrom="column">
                        <wp:posOffset>911860</wp:posOffset>
                      </wp:positionH>
                      <wp:positionV relativeFrom="paragraph">
                        <wp:posOffset>14703</wp:posOffset>
                      </wp:positionV>
                      <wp:extent cx="666750" cy="274955"/>
                      <wp:effectExtent l="0" t="0" r="0" b="0"/>
                      <wp:wrapNone/>
                      <wp:docPr id="252" name="Text Box 252"/>
                      <wp:cNvGraphicFramePr/>
                      <a:graphic xmlns:a="http://schemas.openxmlformats.org/drawingml/2006/main">
                        <a:graphicData uri="http://schemas.microsoft.com/office/word/2010/wordprocessingShape">
                          <wps:wsp>
                            <wps:cNvSpPr txBox="1"/>
                            <wps:spPr>
                              <a:xfrm>
                                <a:off x="0" y="0"/>
                                <a:ext cx="666750" cy="274955"/>
                              </a:xfrm>
                              <a:prstGeom prst="rect">
                                <a:avLst/>
                              </a:prstGeom>
                              <a:solidFill>
                                <a:sysClr val="window" lastClr="FFFFFF"/>
                              </a:solidFill>
                              <a:ln w="6350">
                                <a:noFill/>
                              </a:ln>
                              <a:effectLst/>
                            </wps:spPr>
                            <wps:txbx>
                              <w:txbxContent>
                                <w:p w:rsidR="003D78A0" w:rsidRPr="0065206D" w:rsidRDefault="003D78A0" w:rsidP="00DB504F">
                                  <w:pPr>
                                    <w:jc w:val="center"/>
                                    <w:rPr>
                                      <w:rFonts w:ascii="Times New Roman" w:hAnsi="Times New Roman"/>
                                      <w:b/>
                                      <w:sz w:val="24"/>
                                      <w14:textOutline w14:w="9525" w14:cap="rnd" w14:cmpd="sng" w14:algn="ctr">
                                        <w14:noFill/>
                                        <w14:prstDash w14:val="solid"/>
                                        <w14:bevel/>
                                      </w14:textOutline>
                                    </w:rPr>
                                  </w:pPr>
                                  <w:r w:rsidRPr="00D742DA">
                                    <w:rPr>
                                      <w:rFonts w:ascii="Times New Roman" w:hAnsi="Times New Roman"/>
                                      <w:b/>
                                      <w:sz w:val="24"/>
                                      <w14:textOutline w14:w="9525" w14:cap="rnd" w14:cmpd="sng" w14:algn="ctr">
                                        <w14:noFill/>
                                        <w14:prstDash w14:val="solid"/>
                                        <w14:bevel/>
                                      </w14:textOutline>
                                    </w:rPr>
                                    <w:t>NO</w:t>
                                  </w:r>
                                  <w:r>
                                    <w:rPr>
                                      <w:rFonts w:ascii="Times New Roman" w:hAnsi="Times New Roman"/>
                                      <w:b/>
                                      <w:sz w:val="24"/>
                                      <w:vertAlign w:val="subscript"/>
                                      <w14:textOutline w14:w="9525" w14:cap="rnd" w14:cmpd="sng" w14:algn="ctr">
                                        <w14:noFill/>
                                        <w14:prstDash w14:val="solid"/>
                                        <w14:bevel/>
                                      </w14:textOutline>
                                    </w:rPr>
                                    <w:t>2</w:t>
                                  </w:r>
                                  <w:r w:rsidRPr="002E07C3">
                                    <w:rPr>
                                      <w:rFonts w:ascii="Times New Roman" w:hAnsi="Times New Roman"/>
                                      <w:b/>
                                      <w:sz w:val="24"/>
                                      <w:vertAlign w:val="superscript"/>
                                      <w14:textOutline w14:w="9525" w14:cap="rnd" w14:cmpd="sng" w14:algn="ctr">
                                        <w14:noFill/>
                                        <w14:prstDash w14:val="solid"/>
                                        <w14:bevel/>
                                      </w14:textOutline>
                                    </w:rPr>
                                    <w:t>-</w:t>
                                  </w:r>
                                  <w:r>
                                    <w:rPr>
                                      <w:rFonts w:ascii="Times New Roman" w:hAnsi="Times New Roman"/>
                                      <w:b/>
                                      <w:sz w:val="24"/>
                                      <w14:textOutline w14:w="9525" w14:cap="rnd" w14:cmpd="sng" w14:algn="ctr">
                                        <w14:noFill/>
                                        <w14:prstDash w14:val="solid"/>
                                        <w14:bevel/>
                                      </w14:textOutline>
                                    </w:rPr>
                                    <w:t>-N</w:t>
                                  </w:r>
                                </w:p>
                                <w:p w:rsidR="003D78A0" w:rsidRDefault="003D78A0" w:rsidP="00DB50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2" o:spid="_x0000_s1036" type="#_x0000_t202" style="position:absolute;left:0;text-align:left;margin-left:71.8pt;margin-top:1.15pt;width:52.5pt;height:21.6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" fillcolor="window" stroked="f" strokeweight=".5pt">
                      <v:textbox>
                        <w:txbxContent>
                          <w:p w:rsidR="003D78A0" w:rsidRPr="0065206D" w:rsidRDefault="003D78A0" w:rsidP="00DB504F">
                            <w:pPr>
                              <w:jc w:val="center"/>
                              <w:rPr>
                                <w:rFonts w:ascii="Times New Roman" w:hAnsi="Times New Roman"/>
                                <w:b/>
                                <w:sz w:val="24"/>
                                <w14:textOutline w14:w="9525" w14:cap="rnd" w14:cmpd="sng" w14:algn="ctr">
                                  <w14:noFill/>
                                  <w14:prstDash w14:val="solid"/>
                                  <w14:bevel/>
                                </w14:textOutline>
                              </w:rPr>
                            </w:pPr>
                            <w:r w:rsidRPr="00D742DA">
                              <w:rPr>
                                <w:rFonts w:ascii="Times New Roman" w:hAnsi="Times New Roman"/>
                                <w:b/>
                                <w:sz w:val="24"/>
                                <w14:textOutline w14:w="9525" w14:cap="rnd" w14:cmpd="sng" w14:algn="ctr">
                                  <w14:noFill/>
                                  <w14:prstDash w14:val="solid"/>
                                  <w14:bevel/>
                                </w14:textOutline>
                              </w:rPr>
                              <w:t>NO</w:t>
                            </w:r>
                            <w:r>
                              <w:rPr>
                                <w:rFonts w:ascii="Times New Roman" w:hAnsi="Times New Roman"/>
                                <w:b/>
                                <w:sz w:val="24"/>
                                <w:vertAlign w:val="subscript"/>
                                <w14:textOutline w14:w="9525" w14:cap="rnd" w14:cmpd="sng" w14:algn="ctr">
                                  <w14:noFill/>
                                  <w14:prstDash w14:val="solid"/>
                                  <w14:bevel/>
                                </w14:textOutline>
                              </w:rPr>
                              <w:t>2</w:t>
                            </w:r>
                            <w:r w:rsidRPr="002E07C3">
                              <w:rPr>
                                <w:rFonts w:ascii="Times New Roman" w:hAnsi="Times New Roman"/>
                                <w:b/>
                                <w:sz w:val="24"/>
                                <w:vertAlign w:val="superscript"/>
                                <w14:textOutline w14:w="9525" w14:cap="rnd" w14:cmpd="sng" w14:algn="ctr">
                                  <w14:noFill/>
                                  <w14:prstDash w14:val="solid"/>
                                  <w14:bevel/>
                                </w14:textOutline>
                              </w:rPr>
                              <w:t>-</w:t>
                            </w:r>
                            <w:r>
                              <w:rPr>
                                <w:rFonts w:ascii="Times New Roman" w:hAnsi="Times New Roman"/>
                                <w:b/>
                                <w:sz w:val="24"/>
                                <w14:textOutline w14:w="9525" w14:cap="rnd" w14:cmpd="sng" w14:algn="ctr">
                                  <w14:noFill/>
                                  <w14:prstDash w14:val="solid"/>
                                  <w14:bevel/>
                                </w14:textOutline>
                              </w:rPr>
                              <w:t>-N</w:t>
                            </w:r>
                          </w:p>
                          <w:p w:rsidR="003D78A0" w:rsidRDefault="003D78A0" w:rsidP="00DB504F"/>
                        </w:txbxContent>
                      </v:textbox>
                    </v:shape>
                  </w:pict>
                </mc:Fallback>
              </mc:AlternateContent>
            </w:r>
            <w:r w:rsidRPr="00DB504F">
              <w:rPr>
                <w:rFonts w:ascii="Times New Roman" w:hAnsi="Times New Roman"/>
                <w:noProof/>
                <w:sz w:val="20"/>
                <w:szCs w:val="20"/>
                <w:lang w:val="en-GB" w:eastAsia="ko-KR" w:bidi="ar-SA"/>
              </w:rPr>
              <mc:AlternateContent>
                <mc:Choice Requires="wps">
                  <w:drawing>
                    <wp:anchor distT="0" distB="0" distL="114300" distR="114300" simplePos="0" relativeHeight="251696640" behindDoc="0" locked="0" layoutInCell="1" allowOverlap="1" wp14:anchorId="604C1AA4" wp14:editId="62A6EC87">
                      <wp:simplePos x="0" y="0"/>
                      <wp:positionH relativeFrom="column">
                        <wp:posOffset>50165</wp:posOffset>
                      </wp:positionH>
                      <wp:positionV relativeFrom="paragraph">
                        <wp:posOffset>1403985</wp:posOffset>
                      </wp:positionV>
                      <wp:extent cx="632460" cy="81915"/>
                      <wp:effectExtent l="0" t="0" r="0" b="0"/>
                      <wp:wrapNone/>
                      <wp:docPr id="21" name="Rectangle 21"/>
                      <wp:cNvGraphicFramePr/>
                      <a:graphic xmlns:a="http://schemas.openxmlformats.org/drawingml/2006/main">
                        <a:graphicData uri="http://schemas.microsoft.com/office/word/2010/wordprocessingShape">
                          <wps:wsp>
                            <wps:cNvSpPr/>
                            <wps:spPr>
                              <a:xfrm>
                                <a:off x="0" y="0"/>
                                <a:ext cx="632460" cy="81915"/>
                              </a:xfrm>
                              <a:prstGeom prst="rect">
                                <a:avLst/>
                              </a:prstGeom>
                              <a:gradFill>
                                <a:gsLst>
                                  <a:gs pos="0">
                                    <a:srgbClr val="FF0000"/>
                                  </a:gs>
                                  <a:gs pos="11000">
                                    <a:srgbClr val="FFC000"/>
                                  </a:gs>
                                  <a:gs pos="100000">
                                    <a:srgbClr val="4121C9"/>
                                  </a:gs>
                                  <a:gs pos="69000">
                                    <a:srgbClr val="00B0F0"/>
                                  </a:gs>
                                  <a:gs pos="40000">
                                    <a:srgbClr val="2EF26B"/>
                                  </a:gs>
                                  <a:gs pos="19000">
                                    <a:srgbClr val="FFFF00"/>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6" style="position:absolute;margin-left:3.95pt;margin-top:110.55pt;width:49.8pt;height:6.4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" fillcolor="red" stroked="f" strokeweight="2pt">
                      <v:fill color2="#4121c9" angle="90" colors="0 red;7209f #ffc000;12452f yellow;26214f #2ef26b;45220f #00b0f0;1 #4121c9" focus="100%" type="gradient">
                        <o:fill v:ext="view" type="gradientUnscaled"/>
                      </v:fill>
                    </v:rect>
                  </w:pict>
                </mc:Fallback>
              </mc:AlternateContent>
            </w:r>
            <w:r w:rsidRPr="00DB504F">
              <w:rPr>
                <w:rFonts w:ascii="Times New Roman" w:hAnsi="Times New Roman"/>
                <w:noProof/>
                <w:sz w:val="20"/>
                <w:szCs w:val="20"/>
                <w:lang w:val="en-GB" w:eastAsia="ko-KR" w:bidi="ar-SA"/>
              </w:rPr>
              <w:drawing>
                <wp:inline distT="0" distB="0" distL="0" distR="0" wp14:anchorId="38CCE6E9" wp14:editId="27C359C1">
                  <wp:extent cx="2637692" cy="1644162"/>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55647" cy="1655354"/>
                          </a:xfrm>
                          <a:prstGeom prst="rect">
                            <a:avLst/>
                          </a:prstGeom>
                          <a:ln>
                            <a:noFill/>
                          </a:ln>
                        </pic:spPr>
                      </pic:pic>
                    </a:graphicData>
                  </a:graphic>
                </wp:inline>
              </w:drawing>
            </w:r>
          </w:p>
        </w:tc>
      </w:tr>
    </w:tbl>
    <w:p w:rsidR="00DB504F" w:rsidRPr="00DB504F" w:rsidRDefault="00DB504F" w:rsidP="00DB504F">
      <w:pPr>
        <w:spacing w:after="0" w:line="240" w:lineRule="auto"/>
        <w:ind w:left="426" w:right="379"/>
        <w:jc w:val="both"/>
        <w:outlineLvl w:val="0"/>
        <w:rPr>
          <w:rFonts w:ascii="Times New Roman" w:hAnsi="Times New Roman"/>
          <w:iCs/>
          <w:sz w:val="20"/>
          <w:szCs w:val="20"/>
        </w:rPr>
      </w:pPr>
      <w:bookmarkStart w:id="5" w:name="_Toc495243627"/>
    </w:p>
    <w:p w:rsidR="00DB504F" w:rsidRPr="00DB504F" w:rsidRDefault="00DB504F" w:rsidP="00DB504F">
      <w:pPr>
        <w:tabs>
          <w:tab w:val="left" w:pos="8647"/>
        </w:tabs>
        <w:spacing w:after="0" w:line="240" w:lineRule="auto"/>
        <w:ind w:left="851" w:right="379" w:hanging="851"/>
        <w:jc w:val="both"/>
        <w:outlineLvl w:val="0"/>
        <w:rPr>
          <w:rFonts w:ascii="Times New Roman" w:hAnsi="Times New Roman"/>
          <w:sz w:val="20"/>
          <w:szCs w:val="20"/>
        </w:rPr>
      </w:pPr>
      <w:r w:rsidRPr="00DB504F">
        <w:rPr>
          <w:rFonts w:ascii="Times New Roman" w:hAnsi="Times New Roman"/>
          <w:iCs/>
          <w:sz w:val="20"/>
          <w:szCs w:val="20"/>
        </w:rPr>
        <w:t xml:space="preserve">Figure 5. </w:t>
      </w:r>
      <w:r w:rsidR="005C297B">
        <w:rPr>
          <w:rFonts w:ascii="Times New Roman" w:hAnsi="Times New Roman"/>
          <w:iCs/>
          <w:sz w:val="20"/>
          <w:szCs w:val="20"/>
        </w:rPr>
        <w:tab/>
      </w:r>
      <w:r w:rsidRPr="00DB504F">
        <w:rPr>
          <w:rFonts w:ascii="Times New Roman" w:hAnsi="Times New Roman"/>
          <w:iCs/>
          <w:sz w:val="20"/>
          <w:szCs w:val="20"/>
        </w:rPr>
        <w:t>Radon and nitrogen-based nutrients distribution patterns in Ular River during May 2016 sampling</w:t>
      </w:r>
      <w:bookmarkEnd w:id="5"/>
      <w:r w:rsidRPr="00DB504F">
        <w:rPr>
          <w:rFonts w:ascii="Times New Roman" w:hAnsi="Times New Roman"/>
          <w:iCs/>
          <w:sz w:val="20"/>
          <w:szCs w:val="20"/>
        </w:rPr>
        <w:t xml:space="preserve">. </w:t>
      </w:r>
      <w:r w:rsidRPr="00DB504F">
        <w:rPr>
          <w:rFonts w:ascii="Times New Roman" w:hAnsi="Times New Roman"/>
          <w:sz w:val="20"/>
          <w:szCs w:val="20"/>
        </w:rPr>
        <w:t>BDL = below detection limit: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&lt;0.30µM; NO</w:t>
      </w:r>
      <w:r w:rsidRPr="00DB504F">
        <w:rPr>
          <w:rFonts w:ascii="Times New Roman" w:hAnsi="Times New Roman"/>
          <w:sz w:val="20"/>
          <w:szCs w:val="20"/>
          <w:vertAlign w:val="subscript"/>
        </w:rPr>
        <w:t>3</w:t>
      </w:r>
      <w:r w:rsidRPr="00DB504F">
        <w:rPr>
          <w:rFonts w:ascii="Times New Roman" w:hAnsi="Times New Roman"/>
          <w:sz w:val="20"/>
          <w:szCs w:val="20"/>
          <w:vertAlign w:val="superscript"/>
        </w:rPr>
        <w:t>-</w:t>
      </w:r>
      <w:r w:rsidRPr="00DB504F">
        <w:rPr>
          <w:rFonts w:ascii="Times New Roman" w:hAnsi="Times New Roman"/>
          <w:sz w:val="20"/>
          <w:szCs w:val="20"/>
        </w:rPr>
        <w:t>-N: &lt;0.10µM;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-N: &lt;0.14µM.</w:t>
      </w:r>
    </w:p>
    <w:p w:rsidR="005C297B" w:rsidRDefault="005C297B" w:rsidP="00DB504F">
      <w:pPr>
        <w:spacing w:after="0" w:line="240" w:lineRule="auto"/>
        <w:jc w:val="both"/>
        <w:outlineLvl w:val="0"/>
        <w:rPr>
          <w:rFonts w:ascii="Times New Roman" w:hAnsi="Times New Roman"/>
          <w:sz w:val="20"/>
          <w:szCs w:val="20"/>
        </w:rPr>
      </w:pPr>
    </w:p>
    <w:p w:rsidR="005C297B" w:rsidRPr="00DB504F" w:rsidRDefault="005C297B" w:rsidP="005C297B">
      <w:pPr>
        <w:spacing w:after="0" w:line="240" w:lineRule="auto"/>
        <w:jc w:val="both"/>
        <w:outlineLvl w:val="0"/>
        <w:rPr>
          <w:rFonts w:ascii="Times New Roman" w:hAnsi="Times New Roman"/>
          <w:sz w:val="20"/>
          <w:szCs w:val="20"/>
        </w:rPr>
      </w:pPr>
      <w:bookmarkStart w:id="6" w:name="_Toc495249797"/>
    </w:p>
    <w:p w:rsidR="005C297B" w:rsidRPr="00DB504F" w:rsidRDefault="005C297B" w:rsidP="005C297B">
      <w:pPr>
        <w:spacing w:after="0" w:line="240" w:lineRule="auto"/>
        <w:jc w:val="both"/>
        <w:outlineLvl w:val="0"/>
        <w:rPr>
          <w:rFonts w:ascii="Times New Roman" w:hAnsi="Times New Roman"/>
          <w:b/>
          <w:bCs/>
          <w:sz w:val="20"/>
          <w:szCs w:val="20"/>
        </w:rPr>
      </w:pPr>
      <w:bookmarkStart w:id="7" w:name="_Toc495247035"/>
      <w:bookmarkEnd w:id="6"/>
      <w:r w:rsidRPr="00DB504F">
        <w:rPr>
          <w:rFonts w:ascii="Times New Roman" w:hAnsi="Times New Roman"/>
          <w:b/>
          <w:bCs/>
          <w:sz w:val="20"/>
          <w:szCs w:val="20"/>
        </w:rPr>
        <w:t>Groundwater-derived nutrient fluxes</w:t>
      </w:r>
      <w:bookmarkEnd w:id="7"/>
      <w:r w:rsidRPr="00DB504F">
        <w:rPr>
          <w:rFonts w:ascii="Times New Roman" w:hAnsi="Times New Roman"/>
          <w:b/>
          <w:bCs/>
          <w:sz w:val="20"/>
          <w:szCs w:val="20"/>
        </w:rPr>
        <w:t xml:space="preserve"> </w:t>
      </w:r>
    </w:p>
    <w:p w:rsidR="005C297B" w:rsidRPr="00DB504F" w:rsidRDefault="005C297B" w:rsidP="005C297B">
      <w:pPr>
        <w:spacing w:after="0" w:line="240" w:lineRule="auto"/>
        <w:jc w:val="both"/>
        <w:outlineLvl w:val="0"/>
        <w:rPr>
          <w:rFonts w:ascii="Times New Roman" w:hAnsi="Times New Roman"/>
          <w:sz w:val="20"/>
          <w:szCs w:val="20"/>
        </w:rPr>
      </w:pPr>
      <w:r w:rsidRPr="00DB504F">
        <w:rPr>
          <w:rFonts w:ascii="Times New Roman" w:hAnsi="Times New Roman"/>
          <w:sz w:val="20"/>
          <w:szCs w:val="20"/>
        </w:rPr>
        <w:t>Groundwater sampling on May 2015 revealed a strong correlation between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and radon concentrations in Ular surface water (Pearson correlation coefficient, r: 0.82, p&lt;0.05).  Figure 5 illustrates that both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and radon concentrations peaked approximately 4km upstream from the estuary, decrease gradually to the downstream. We first suspect Berombak Lake to be the major source of ammonium however,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concentration in Berombak Lake (H2, H3; Figure 5 &amp; Table 1) was below detection limit, suggesting that the contamination input was derived from the groundwater source rather than from the Berombak Lake. One of the plausible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contamination source could be came from the leakage of underground sewage septic tank located near to a residential area next to the oil palm plantation. Figure 5 also shows the concentration of NO</w:t>
      </w:r>
      <w:r w:rsidRPr="00DB504F">
        <w:rPr>
          <w:rFonts w:ascii="Times New Roman" w:hAnsi="Times New Roman"/>
          <w:sz w:val="20"/>
          <w:szCs w:val="20"/>
          <w:vertAlign w:val="subscript"/>
        </w:rPr>
        <w:t>3</w:t>
      </w:r>
      <w:r w:rsidRPr="00DB504F">
        <w:rPr>
          <w:rFonts w:ascii="Times New Roman" w:hAnsi="Times New Roman"/>
          <w:sz w:val="20"/>
          <w:szCs w:val="20"/>
          <w:vertAlign w:val="superscript"/>
        </w:rPr>
        <w:t>-</w:t>
      </w:r>
      <w:r w:rsidRPr="00DB504F">
        <w:rPr>
          <w:rFonts w:ascii="Times New Roman" w:hAnsi="Times New Roman"/>
          <w:sz w:val="20"/>
          <w:szCs w:val="20"/>
        </w:rPr>
        <w:t>-N and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-N reaching their maximum in G4, G5 and G14, respectively; suggesting that the surface runoff from oil palm plantation would be more likely to be the source of these nutrients.</w:t>
      </w:r>
    </w:p>
    <w:p w:rsidR="005C297B" w:rsidRDefault="005C297B" w:rsidP="00DB504F">
      <w:pPr>
        <w:spacing w:after="0" w:line="240" w:lineRule="auto"/>
        <w:jc w:val="both"/>
        <w:outlineLvl w:val="0"/>
        <w:rPr>
          <w:rFonts w:ascii="Times New Roman" w:hAnsi="Times New Roman"/>
          <w:sz w:val="20"/>
          <w:szCs w:val="20"/>
        </w:rPr>
      </w:pPr>
    </w:p>
    <w:p w:rsidR="00DB504F" w:rsidRPr="00DB504F" w:rsidRDefault="00DB504F" w:rsidP="00DB504F">
      <w:pPr>
        <w:spacing w:after="0" w:line="240" w:lineRule="auto"/>
        <w:jc w:val="both"/>
        <w:outlineLvl w:val="0"/>
        <w:rPr>
          <w:rFonts w:ascii="Times New Roman" w:hAnsi="Times New Roman"/>
          <w:sz w:val="20"/>
          <w:szCs w:val="20"/>
        </w:rPr>
      </w:pPr>
      <w:r w:rsidRPr="00DB504F">
        <w:rPr>
          <w:rFonts w:ascii="Times New Roman" w:hAnsi="Times New Roman"/>
          <w:sz w:val="20"/>
          <w:szCs w:val="20"/>
        </w:rPr>
        <w:t>Groundwater nutrient fluxes to Ular River can be calculated by multiply the groundwater discharge rate in the river with the nutrient concentrations of the groundwater end-member [4, 33]. Calculation from the radon mass balance model showed that the groundwater contributes an average of 2.88×10</w:t>
      </w:r>
      <w:r w:rsidRPr="00DB504F">
        <w:rPr>
          <w:rFonts w:ascii="Times New Roman" w:hAnsi="Times New Roman"/>
          <w:sz w:val="20"/>
          <w:szCs w:val="20"/>
          <w:vertAlign w:val="superscript"/>
        </w:rPr>
        <w:t>2</w:t>
      </w:r>
      <w:r w:rsidRPr="00DB504F">
        <w:rPr>
          <w:rFonts w:ascii="Times New Roman" w:hAnsi="Times New Roman"/>
          <w:sz w:val="20"/>
          <w:szCs w:val="20"/>
        </w:rPr>
        <w:t xml:space="preserve"> molday</w:t>
      </w:r>
      <w:r w:rsidRPr="00DB504F">
        <w:rPr>
          <w:rFonts w:ascii="Times New Roman" w:hAnsi="Times New Roman"/>
          <w:sz w:val="20"/>
          <w:szCs w:val="20"/>
          <w:vertAlign w:val="superscript"/>
        </w:rPr>
        <w:t>-1</w:t>
      </w:r>
      <w:r w:rsidRPr="00DB504F">
        <w:rPr>
          <w:rFonts w:ascii="Times New Roman" w:hAnsi="Times New Roman"/>
          <w:sz w:val="20"/>
          <w:szCs w:val="20"/>
        </w:rPr>
        <w:t xml:space="preserve"> NH</w:t>
      </w:r>
      <w:r w:rsidRPr="00DB504F">
        <w:rPr>
          <w:rFonts w:ascii="Times New Roman" w:hAnsi="Times New Roman"/>
          <w:sz w:val="20"/>
          <w:szCs w:val="20"/>
          <w:vertAlign w:val="subscript"/>
        </w:rPr>
        <w:t>4</w:t>
      </w:r>
      <w:r w:rsidRPr="00DB504F">
        <w:rPr>
          <w:rFonts w:ascii="Times New Roman" w:hAnsi="Times New Roman"/>
          <w:sz w:val="20"/>
          <w:szCs w:val="20"/>
          <w:vertAlign w:val="superscript"/>
        </w:rPr>
        <w:t>+</w:t>
      </w:r>
      <w:r w:rsidRPr="00DB504F">
        <w:rPr>
          <w:rFonts w:ascii="Times New Roman" w:hAnsi="Times New Roman"/>
          <w:sz w:val="20"/>
          <w:szCs w:val="20"/>
        </w:rPr>
        <w:t>-N, 1.23×10</w:t>
      </w:r>
      <w:r w:rsidRPr="00DB504F">
        <w:rPr>
          <w:rFonts w:ascii="Times New Roman" w:hAnsi="Times New Roman"/>
          <w:sz w:val="20"/>
          <w:szCs w:val="20"/>
          <w:vertAlign w:val="superscript"/>
        </w:rPr>
        <w:t>2</w:t>
      </w:r>
      <w:r w:rsidRPr="00DB504F">
        <w:rPr>
          <w:rFonts w:ascii="Times New Roman" w:hAnsi="Times New Roman"/>
          <w:sz w:val="20"/>
          <w:szCs w:val="20"/>
        </w:rPr>
        <w:t xml:space="preserve"> molday</w:t>
      </w:r>
      <w:r w:rsidRPr="00DB504F">
        <w:rPr>
          <w:rFonts w:ascii="Times New Roman" w:hAnsi="Times New Roman"/>
          <w:sz w:val="20"/>
          <w:szCs w:val="20"/>
          <w:vertAlign w:val="superscript"/>
        </w:rPr>
        <w:t>-1</w:t>
      </w:r>
      <w:r w:rsidRPr="00DB504F">
        <w:rPr>
          <w:rFonts w:ascii="Times New Roman" w:hAnsi="Times New Roman"/>
          <w:sz w:val="20"/>
          <w:szCs w:val="20"/>
        </w:rPr>
        <w:t xml:space="preserve"> NO</w:t>
      </w:r>
      <w:r w:rsidRPr="00DB504F">
        <w:rPr>
          <w:rFonts w:ascii="Times New Roman" w:hAnsi="Times New Roman"/>
          <w:sz w:val="20"/>
          <w:szCs w:val="20"/>
          <w:vertAlign w:val="subscript"/>
        </w:rPr>
        <w:t>3</w:t>
      </w:r>
      <w:r w:rsidRPr="00DB504F">
        <w:rPr>
          <w:rFonts w:ascii="Times New Roman" w:hAnsi="Times New Roman"/>
          <w:sz w:val="20"/>
          <w:szCs w:val="20"/>
          <w:vertAlign w:val="superscript"/>
        </w:rPr>
        <w:t>-</w:t>
      </w:r>
      <w:r w:rsidRPr="00DB504F">
        <w:rPr>
          <w:rFonts w:ascii="Times New Roman" w:hAnsi="Times New Roman"/>
          <w:sz w:val="20"/>
          <w:szCs w:val="20"/>
        </w:rPr>
        <w:t>-N and 0.75 molday</w:t>
      </w:r>
      <w:r w:rsidRPr="00DB504F">
        <w:rPr>
          <w:rFonts w:ascii="Times New Roman" w:hAnsi="Times New Roman"/>
          <w:sz w:val="20"/>
          <w:szCs w:val="20"/>
          <w:vertAlign w:val="superscript"/>
        </w:rPr>
        <w:t>-1</w:t>
      </w:r>
      <w:r w:rsidRPr="00DB504F">
        <w:rPr>
          <w:rFonts w:ascii="Times New Roman" w:hAnsi="Times New Roman"/>
          <w:sz w:val="20"/>
          <w:szCs w:val="20"/>
        </w:rPr>
        <w:t xml:space="preserve"> NO</w:t>
      </w:r>
      <w:r w:rsidRPr="00DB504F">
        <w:rPr>
          <w:rFonts w:ascii="Times New Roman" w:hAnsi="Times New Roman"/>
          <w:sz w:val="20"/>
          <w:szCs w:val="20"/>
          <w:vertAlign w:val="subscript"/>
        </w:rPr>
        <w:t>2</w:t>
      </w:r>
      <w:r w:rsidRPr="00DB504F">
        <w:rPr>
          <w:rFonts w:ascii="Times New Roman" w:hAnsi="Times New Roman"/>
          <w:sz w:val="20"/>
          <w:szCs w:val="20"/>
          <w:vertAlign w:val="superscript"/>
        </w:rPr>
        <w:t>-</w:t>
      </w:r>
      <w:r w:rsidRPr="00DB504F">
        <w:rPr>
          <w:rFonts w:ascii="Times New Roman" w:hAnsi="Times New Roman"/>
          <w:sz w:val="20"/>
          <w:szCs w:val="20"/>
        </w:rPr>
        <w:t xml:space="preserve">-N into the Ular River, respectively (Table 2). These nitrogen species in the groundwater are probably derived from the agricultural seepage from the surrounding oil palm plantation. Ammonium sources could also be derived from the sewage discharge from the nearby residential area located nearby the upstream of the Ular River. Underground storage tank leakage, septic system failure resulted in clogging and malfunction of the septic drain field could also lead to soil and groundwater contamination when the untreated wastewater recharge to the shallow aquifer. </w:t>
      </w:r>
    </w:p>
    <w:p w:rsidR="006768E9" w:rsidRPr="00F447A7" w:rsidRDefault="006768E9" w:rsidP="00DB504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E1C97" w:rsidRDefault="005C297B" w:rsidP="005C297B">
      <w:pPr>
        <w:spacing w:after="0" w:line="240" w:lineRule="auto"/>
        <w:jc w:val="both"/>
        <w:outlineLvl w:val="0"/>
        <w:rPr>
          <w:rFonts w:ascii="Times New Roman" w:hAnsi="Times New Roman"/>
          <w:szCs w:val="20"/>
        </w:rPr>
      </w:pPr>
      <w:r w:rsidRPr="00824231">
        <w:rPr>
          <w:rFonts w:ascii="Times New Roman" w:hAnsi="Times New Roman"/>
          <w:szCs w:val="20"/>
        </w:rPr>
        <w:t xml:space="preserve">This study successfully identified the groundwater discharge hotspots and its relationship with nutrients distribution in Ular River. The radon mass balance model results show that groundwater discharge </w:t>
      </w:r>
      <w:r w:rsidRPr="00824231">
        <w:rPr>
          <w:rFonts w:ascii="Times New Roman" w:hAnsi="Times New Roman"/>
          <w:szCs w:val="20"/>
        </w:rPr>
        <w:lastRenderedPageBreak/>
        <w:t xml:space="preserve">represents a significant component of </w:t>
      </w:r>
      <w:r>
        <w:rPr>
          <w:rFonts w:ascii="Times New Roman" w:hAnsi="Times New Roman"/>
          <w:szCs w:val="20"/>
        </w:rPr>
        <w:t xml:space="preserve">surface </w:t>
      </w:r>
      <w:r w:rsidRPr="00824231">
        <w:rPr>
          <w:rFonts w:ascii="Times New Roman" w:hAnsi="Times New Roman"/>
          <w:szCs w:val="20"/>
        </w:rPr>
        <w:t>water balance accounted for about 33% of the total riverine flow.  The strong correlation between radon and NH</w:t>
      </w:r>
      <w:r w:rsidRPr="00824231">
        <w:rPr>
          <w:rFonts w:ascii="Times New Roman" w:hAnsi="Times New Roman"/>
          <w:szCs w:val="20"/>
          <w:vertAlign w:val="subscript"/>
        </w:rPr>
        <w:t>4</w:t>
      </w:r>
      <w:r w:rsidRPr="00824231">
        <w:rPr>
          <w:rFonts w:ascii="Times New Roman" w:hAnsi="Times New Roman"/>
          <w:szCs w:val="20"/>
          <w:vertAlign w:val="superscript"/>
        </w:rPr>
        <w:t>+</w:t>
      </w:r>
      <w:r w:rsidRPr="00824231">
        <w:rPr>
          <w:rFonts w:ascii="Times New Roman" w:hAnsi="Times New Roman"/>
          <w:szCs w:val="20"/>
        </w:rPr>
        <w:t>-N suggested that the source of ammonium in Ular River is groundwater-derived. However, nitrate and nitrite showed insignificant correlation with radon indicating that</w:t>
      </w:r>
      <w:r>
        <w:rPr>
          <w:rFonts w:ascii="Times New Roman" w:hAnsi="Times New Roman"/>
          <w:szCs w:val="20"/>
        </w:rPr>
        <w:t xml:space="preserve"> the origin of these nutrients could be </w:t>
      </w:r>
      <w:r w:rsidRPr="00824231">
        <w:rPr>
          <w:rFonts w:ascii="Times New Roman" w:hAnsi="Times New Roman"/>
          <w:szCs w:val="20"/>
        </w:rPr>
        <w:t xml:space="preserve">derived from the surface runoff. However, this study is only tracing the effects of groundwater-derived nutrient from one of the freshwater-fed </w:t>
      </w:r>
      <w:r>
        <w:rPr>
          <w:rFonts w:ascii="Times New Roman" w:hAnsi="Times New Roman"/>
          <w:szCs w:val="20"/>
        </w:rPr>
        <w:t>drainage channel</w:t>
      </w:r>
      <w:r w:rsidRPr="00824231">
        <w:rPr>
          <w:rFonts w:ascii="Times New Roman" w:hAnsi="Times New Roman"/>
          <w:szCs w:val="20"/>
        </w:rPr>
        <w:t xml:space="preserve"> or tributaries connected to the S</w:t>
      </w:r>
      <w:r>
        <w:rPr>
          <w:rFonts w:ascii="Times New Roman" w:hAnsi="Times New Roman"/>
          <w:szCs w:val="20"/>
        </w:rPr>
        <w:t>etiu lagoon</w:t>
      </w:r>
      <w:r w:rsidRPr="00824231">
        <w:rPr>
          <w:rFonts w:ascii="Times New Roman" w:hAnsi="Times New Roman"/>
          <w:szCs w:val="20"/>
        </w:rPr>
        <w:t xml:space="preserve"> and its nutrients contribution percentage. There are large portions of unaccounted groundwater-derived nutrients inputs from the other tributaries from the lagoon itself which are yet to be studied as part of the nutrient budget in </w:t>
      </w:r>
      <w:r>
        <w:rPr>
          <w:rFonts w:ascii="Times New Roman" w:hAnsi="Times New Roman"/>
          <w:szCs w:val="20"/>
        </w:rPr>
        <w:t>Setiu Wetlands</w:t>
      </w:r>
      <w:r w:rsidRPr="00824231">
        <w:rPr>
          <w:rFonts w:ascii="Times New Roman" w:hAnsi="Times New Roman"/>
          <w:szCs w:val="20"/>
        </w:rPr>
        <w:t xml:space="preserve"> which may warrant further investigation by future studies. In overall, this investigation would allow coastal manager to assess the magnitude of groundwater discharge and its nutrients contribution into the </w:t>
      </w:r>
      <w:r>
        <w:rPr>
          <w:rFonts w:ascii="Times New Roman" w:hAnsi="Times New Roman"/>
          <w:szCs w:val="20"/>
        </w:rPr>
        <w:t xml:space="preserve">Setiu Wetlands </w:t>
      </w:r>
      <w:r w:rsidRPr="00824231">
        <w:rPr>
          <w:rFonts w:ascii="Times New Roman" w:hAnsi="Times New Roman"/>
          <w:szCs w:val="20"/>
        </w:rPr>
        <w:t>and highlighted significance of groundwater-based nutrients in riverine and e</w:t>
      </w:r>
      <w:r>
        <w:rPr>
          <w:rFonts w:ascii="Times New Roman" w:hAnsi="Times New Roman"/>
          <w:szCs w:val="20"/>
        </w:rPr>
        <w:t xml:space="preserve">stuarine nutrient budgets. </w:t>
      </w:r>
    </w:p>
    <w:p w:rsidR="00AE1C97" w:rsidRPr="00AF6D47" w:rsidRDefault="00AE1C97" w:rsidP="005C297B">
      <w:pPr>
        <w:spacing w:after="0" w:line="240" w:lineRule="auto"/>
        <w:jc w:val="both"/>
        <w:outlineLvl w:val="0"/>
        <w:rPr>
          <w:rFonts w:ascii="Times New Roman" w:hAnsi="Times New Roman"/>
          <w:szCs w:val="20"/>
        </w:rPr>
      </w:pPr>
    </w:p>
    <w:p w:rsidR="005C297B" w:rsidRDefault="005C297B" w:rsidP="005C297B">
      <w:pPr>
        <w:spacing w:after="0" w:line="240" w:lineRule="auto"/>
        <w:jc w:val="center"/>
        <w:outlineLvl w:val="0"/>
        <w:rPr>
          <w:rFonts w:ascii="Times New Roman" w:hAnsi="Times New Roman"/>
          <w:b/>
          <w:szCs w:val="20"/>
        </w:rPr>
      </w:pPr>
      <w:r w:rsidRPr="00AF6D47">
        <w:rPr>
          <w:rFonts w:ascii="Times New Roman" w:hAnsi="Times New Roman"/>
          <w:b/>
          <w:szCs w:val="20"/>
        </w:rPr>
        <w:t>Acknowledgement</w:t>
      </w:r>
    </w:p>
    <w:p w:rsidR="006768E9" w:rsidRPr="005C297B" w:rsidRDefault="005C297B" w:rsidP="005C297B">
      <w:pPr>
        <w:spacing w:after="0" w:line="240" w:lineRule="auto"/>
        <w:jc w:val="both"/>
        <w:outlineLvl w:val="0"/>
        <w:rPr>
          <w:rFonts w:ascii="Times New Roman" w:hAnsi="Times New Roman"/>
          <w:szCs w:val="20"/>
        </w:rPr>
      </w:pPr>
      <w:r w:rsidRPr="00F030BB">
        <w:rPr>
          <w:rFonts w:ascii="Times New Roman" w:hAnsi="Times New Roman"/>
          <w:szCs w:val="20"/>
        </w:rPr>
        <w:t>This work was also made possible through the funding from Ministry of Higher Education of Malaysia, Niche Re</w:t>
      </w:r>
      <w:r>
        <w:rPr>
          <w:rFonts w:ascii="Times New Roman" w:hAnsi="Times New Roman"/>
          <w:szCs w:val="20"/>
        </w:rPr>
        <w:t>search Grant Scheme (NRGS-53131). NCW wished to thank Malaysian Government for MyBrian15 scholarship.</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C297B" w:rsidRP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Buddemeier, R. W. (1996). Groundwater discharge in the coastal zone. </w:t>
      </w:r>
      <w:r w:rsidRPr="005C297B">
        <w:rPr>
          <w:rFonts w:ascii="Times New Roman" w:hAnsi="Times New Roman"/>
          <w:i/>
          <w:sz w:val="20"/>
          <w:szCs w:val="20"/>
        </w:rPr>
        <w:t>Ecological Economics</w:t>
      </w:r>
      <w:r w:rsidRPr="005C297B">
        <w:rPr>
          <w:rFonts w:ascii="Times New Roman" w:hAnsi="Times New Roman"/>
          <w:sz w:val="20"/>
          <w:szCs w:val="20"/>
        </w:rPr>
        <w:t>, 35(200): 25–33.</w:t>
      </w:r>
    </w:p>
    <w:p w:rsidR="005C297B" w:rsidRDefault="005C297B" w:rsidP="005C297B">
      <w:pPr>
        <w:spacing w:after="0" w:line="240" w:lineRule="auto"/>
        <w:ind w:left="360"/>
        <w:jc w:val="both"/>
        <w:rPr>
          <w:rFonts w:ascii="Times New Roman" w:hAnsi="Times New Roman"/>
          <w:sz w:val="20"/>
          <w:szCs w:val="20"/>
        </w:rPr>
      </w:pPr>
      <w:r w:rsidRPr="005C297B">
        <w:rPr>
          <w:rFonts w:ascii="Times New Roman" w:hAnsi="Times New Roman"/>
          <w:sz w:val="20"/>
          <w:szCs w:val="20"/>
        </w:rPr>
        <w:t xml:space="preserve">Burnett, W. C. Taniguchi, M. and Oberdorfer, J. (2001). Measurement and significance of the direct discharge of groundwater into the coastal zone. </w:t>
      </w:r>
      <w:r w:rsidRPr="005C297B">
        <w:rPr>
          <w:rFonts w:ascii="Times New Roman" w:hAnsi="Times New Roman"/>
          <w:i/>
          <w:sz w:val="20"/>
          <w:szCs w:val="20"/>
        </w:rPr>
        <w:t>Journal of Sea Research</w:t>
      </w:r>
      <w:r w:rsidRPr="005C297B">
        <w:rPr>
          <w:rFonts w:ascii="Times New Roman" w:hAnsi="Times New Roman"/>
          <w:sz w:val="20"/>
          <w:szCs w:val="20"/>
        </w:rPr>
        <w:t>, 46(2), 109–116.</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Johnson, A. G., Glenn, C. R., Burnett, W. C., Peterson, R. N. and Lucey, P. G. (2008). Aerial infrared imaging reveals large nutrient-rich groundwater inputs to the ocean. </w:t>
      </w:r>
      <w:r w:rsidRPr="005C297B">
        <w:rPr>
          <w:rFonts w:ascii="Times New Roman" w:hAnsi="Times New Roman"/>
          <w:i/>
          <w:sz w:val="20"/>
          <w:szCs w:val="20"/>
        </w:rPr>
        <w:t>Geophysical Research Letters</w:t>
      </w:r>
      <w:r w:rsidRPr="005C297B">
        <w:rPr>
          <w:rFonts w:ascii="Times New Roman" w:hAnsi="Times New Roman"/>
          <w:sz w:val="20"/>
          <w:szCs w:val="20"/>
        </w:rPr>
        <w:t>, 35 (15): 1–6.</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Lee, Y. W., Hwang, D. W., Kim, G., Lee, W. C. and Oh, H. T. (2009). Nutrient input from submarine groundwater discharge (SGD) in Masan Bay, an embayment surrounded by heavily industrialized cities, Korea. </w:t>
      </w:r>
      <w:r w:rsidRPr="005C297B">
        <w:rPr>
          <w:rFonts w:ascii="Times New Roman" w:hAnsi="Times New Roman"/>
          <w:i/>
          <w:sz w:val="20"/>
          <w:szCs w:val="20"/>
        </w:rPr>
        <w:t>Science of the Total Environment</w:t>
      </w:r>
      <w:r w:rsidRPr="005C297B">
        <w:rPr>
          <w:rFonts w:ascii="Times New Roman" w:hAnsi="Times New Roman"/>
          <w:sz w:val="20"/>
          <w:szCs w:val="20"/>
        </w:rPr>
        <w:t>, 407: 3181–3188.</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Burnett, W. C., Aggarwal, P. K., Aureli, A., Bokuniewicz, H., Cable, J. E., Charette, M. A., Kontar, E., Krupa, S., Kulkarni, K. M. and Loveless, A. (2006). Quantifying submarine groundwater discharge in the coastal zone </w:t>
      </w:r>
      <w:r w:rsidRPr="005C297B">
        <w:rPr>
          <w:rFonts w:ascii="Times New Roman" w:hAnsi="Times New Roman"/>
          <w:i/>
          <w:sz w:val="20"/>
          <w:szCs w:val="20"/>
        </w:rPr>
        <w:t>via</w:t>
      </w:r>
      <w:r w:rsidRPr="005C297B">
        <w:rPr>
          <w:rFonts w:ascii="Times New Roman" w:hAnsi="Times New Roman"/>
          <w:sz w:val="20"/>
          <w:szCs w:val="20"/>
        </w:rPr>
        <w:t xml:space="preserve"> multiple methods. </w:t>
      </w:r>
      <w:r w:rsidRPr="005C297B">
        <w:rPr>
          <w:rFonts w:ascii="Times New Roman" w:hAnsi="Times New Roman"/>
          <w:i/>
          <w:sz w:val="20"/>
          <w:szCs w:val="20"/>
        </w:rPr>
        <w:t>Science of the Total Environment</w:t>
      </w:r>
      <w:r w:rsidRPr="005C297B">
        <w:rPr>
          <w:rFonts w:ascii="Times New Roman" w:hAnsi="Times New Roman"/>
          <w:sz w:val="20"/>
          <w:szCs w:val="20"/>
        </w:rPr>
        <w:t>, 367: 498–543.</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Cable, J. E., Burnett, W. C., Chanton, J. P. and Weatherly, G. L. (1996). Estimating groundwater discharge into the northeastern Gulf of Mexico using radon-222. </w:t>
      </w:r>
      <w:r w:rsidRPr="005C297B">
        <w:rPr>
          <w:rFonts w:ascii="Times New Roman" w:hAnsi="Times New Roman"/>
          <w:i/>
          <w:sz w:val="20"/>
          <w:szCs w:val="20"/>
        </w:rPr>
        <w:t>Earth Planetary Science Letters,</w:t>
      </w:r>
      <w:r w:rsidRPr="005C297B">
        <w:rPr>
          <w:rFonts w:ascii="Times New Roman" w:hAnsi="Times New Roman"/>
          <w:sz w:val="20"/>
          <w:szCs w:val="20"/>
        </w:rPr>
        <w:t xml:space="preserve"> 144: 591-604.</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Dulaiova, H., Gonneea, M. E., Henderson, P. B. and Charette, M. A. (2008). Geochemical and physical sources of radon variation in a subterranean estuary–implication for groundwater radon activities in submarine groundwater discharge studies. </w:t>
      </w:r>
      <w:r w:rsidRPr="005C297B">
        <w:rPr>
          <w:rFonts w:ascii="Times New Roman" w:hAnsi="Times New Roman"/>
          <w:i/>
          <w:sz w:val="20"/>
          <w:szCs w:val="20"/>
        </w:rPr>
        <w:t>Marine Chemistry</w:t>
      </w:r>
      <w:r w:rsidRPr="005C297B">
        <w:rPr>
          <w:rFonts w:ascii="Times New Roman" w:hAnsi="Times New Roman"/>
          <w:sz w:val="20"/>
          <w:szCs w:val="20"/>
        </w:rPr>
        <w:t>, 110, 120–127.</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Lerman, A. (1979). Geochemical processes. Wiley-Interscience. New York: p. 481.</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Schubert, M., Knoeller, K., Treutler, H.-C., Weiss, H. and Dehnert, J. (2006). </w:t>
      </w:r>
      <w:r w:rsidRPr="005C297B">
        <w:rPr>
          <w:rFonts w:ascii="Times New Roman" w:hAnsi="Times New Roman"/>
          <w:sz w:val="20"/>
          <w:szCs w:val="20"/>
          <w:vertAlign w:val="superscript"/>
        </w:rPr>
        <w:t>222</w:t>
      </w:r>
      <w:r w:rsidRPr="005C297B">
        <w:rPr>
          <w:rFonts w:ascii="Times New Roman" w:hAnsi="Times New Roman"/>
          <w:sz w:val="20"/>
          <w:szCs w:val="20"/>
        </w:rPr>
        <w:t>Rn as a tracer for the estimation of infiltration of surface waters into aquifers, in Radionuclides in the environment Povinec, P. P. and Sanchez-Cabeza,</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J. A. (Editor). </w:t>
      </w:r>
      <w:r w:rsidRPr="005C297B">
        <w:rPr>
          <w:rFonts w:ascii="Times New Roman" w:hAnsi="Times New Roman"/>
          <w:i/>
          <w:sz w:val="20"/>
          <w:szCs w:val="20"/>
        </w:rPr>
        <w:t>Radioactivity in the Environment</w:t>
      </w:r>
      <w:r w:rsidRPr="005C297B">
        <w:rPr>
          <w:rFonts w:ascii="Times New Roman" w:hAnsi="Times New Roman"/>
          <w:sz w:val="20"/>
          <w:szCs w:val="20"/>
        </w:rPr>
        <w:t>, 8: 326–334.</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Burnett, W. C. and Dulaiova, H. (2003). Estimating the dynamics of groundwater input into the coastal zone </w:t>
      </w:r>
      <w:r w:rsidRPr="005C297B">
        <w:rPr>
          <w:rFonts w:ascii="Times New Roman" w:hAnsi="Times New Roman"/>
          <w:i/>
          <w:sz w:val="20"/>
          <w:szCs w:val="20"/>
        </w:rPr>
        <w:t>via</w:t>
      </w:r>
      <w:r w:rsidRPr="005C297B">
        <w:rPr>
          <w:rFonts w:ascii="Times New Roman" w:hAnsi="Times New Roman"/>
          <w:sz w:val="20"/>
          <w:szCs w:val="20"/>
        </w:rPr>
        <w:t xml:space="preserve"> continuous radon-222 measurements. </w:t>
      </w:r>
      <w:r w:rsidRPr="005C297B">
        <w:rPr>
          <w:rFonts w:ascii="Times New Roman" w:hAnsi="Times New Roman"/>
          <w:i/>
          <w:sz w:val="20"/>
          <w:szCs w:val="20"/>
        </w:rPr>
        <w:t>Journal of Environmental Radioactivity</w:t>
      </w:r>
      <w:r w:rsidRPr="005C297B">
        <w:rPr>
          <w:rFonts w:ascii="Times New Roman" w:hAnsi="Times New Roman"/>
          <w:sz w:val="20"/>
          <w:szCs w:val="20"/>
        </w:rPr>
        <w:t>, 69 (1-2): 21–35.</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Mullinger, N. J., Binley, A. M., Pates, J. M. and Crook, N. P. (2007). Radon in Chalk streams: Spatial and temporal variation of groundwater sources in the Pang and Lambourn catchments, UK. </w:t>
      </w:r>
      <w:r w:rsidRPr="005C297B">
        <w:rPr>
          <w:rFonts w:ascii="Times New Roman" w:hAnsi="Times New Roman"/>
          <w:i/>
          <w:sz w:val="20"/>
          <w:szCs w:val="20"/>
        </w:rPr>
        <w:t>Journal of Hydrology,</w:t>
      </w:r>
      <w:r w:rsidRPr="005C297B">
        <w:rPr>
          <w:rFonts w:ascii="Times New Roman" w:hAnsi="Times New Roman"/>
          <w:sz w:val="20"/>
          <w:szCs w:val="20"/>
        </w:rPr>
        <w:t xml:space="preserve"> 339: 172–182.</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Schwartz, M. C. (2003). Significant groundwater input to a coastal plain estuary: Assessment from excess radon. </w:t>
      </w:r>
      <w:r w:rsidRPr="005C297B">
        <w:rPr>
          <w:rFonts w:ascii="Times New Roman" w:hAnsi="Times New Roman"/>
          <w:i/>
          <w:sz w:val="20"/>
          <w:szCs w:val="20"/>
        </w:rPr>
        <w:t>Estuarine, Coastal and Shelf Science,</w:t>
      </w:r>
      <w:r w:rsidRPr="005C297B">
        <w:rPr>
          <w:rFonts w:ascii="Times New Roman" w:hAnsi="Times New Roman"/>
          <w:sz w:val="20"/>
          <w:szCs w:val="20"/>
        </w:rPr>
        <w:t xml:space="preserve"> 56: 31–42.</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Swarzenski, P.W., Orem, W.H., McPherson, B.F., Baskaran, M. and Wan, Y. (2006). Biogeochemical transport in the Loxahatchee river estuary: the role of submarine groundwater discharge. </w:t>
      </w:r>
      <w:r w:rsidRPr="005C297B">
        <w:rPr>
          <w:rFonts w:ascii="Times New Roman" w:hAnsi="Times New Roman"/>
          <w:i/>
          <w:sz w:val="20"/>
          <w:szCs w:val="20"/>
        </w:rPr>
        <w:t>Marine Chemistry,</w:t>
      </w:r>
      <w:r w:rsidRPr="005C297B">
        <w:rPr>
          <w:rFonts w:ascii="Times New Roman" w:hAnsi="Times New Roman"/>
          <w:sz w:val="20"/>
          <w:szCs w:val="20"/>
        </w:rPr>
        <w:t xml:space="preserve"> 101: 248–265.</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Santos, I. R. and Eyre, B. D. (2011). Radon tracing of groundwater discharge into an Australian estuary surrounded by coastal acid sulphate soils. </w:t>
      </w:r>
      <w:r w:rsidRPr="005C297B">
        <w:rPr>
          <w:rFonts w:ascii="Times New Roman" w:hAnsi="Times New Roman"/>
          <w:i/>
          <w:sz w:val="20"/>
          <w:szCs w:val="20"/>
        </w:rPr>
        <w:t>Journal Hydrology,</w:t>
      </w:r>
      <w:r w:rsidRPr="005C297B">
        <w:rPr>
          <w:rFonts w:ascii="Times New Roman" w:hAnsi="Times New Roman"/>
          <w:sz w:val="20"/>
          <w:szCs w:val="20"/>
        </w:rPr>
        <w:t xml:space="preserve"> 396: 246-257.</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lastRenderedPageBreak/>
        <w:t xml:space="preserve">Burnett, W. C., Peterson, R. N., Santos, I. R. and Hicks, R. W. (2010). Use of automated radon measurements for rapid assessment of groundwater flow into Florida streams. </w:t>
      </w:r>
      <w:r w:rsidRPr="005C297B">
        <w:rPr>
          <w:rFonts w:ascii="Times New Roman" w:hAnsi="Times New Roman"/>
          <w:i/>
          <w:sz w:val="20"/>
          <w:szCs w:val="20"/>
        </w:rPr>
        <w:t>Journal of Hydrology</w:t>
      </w:r>
      <w:r w:rsidRPr="005C297B">
        <w:rPr>
          <w:rFonts w:ascii="Times New Roman" w:hAnsi="Times New Roman"/>
          <w:sz w:val="20"/>
          <w:szCs w:val="20"/>
        </w:rPr>
        <w:t>. 380: 298–304.</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Peterson, R. N., Burnett, W. C., Dimova, N. and Santos, I. R. (2009). Comparing measurement methods for radium-226 on manganese-fiber. </w:t>
      </w:r>
      <w:r w:rsidRPr="005C297B">
        <w:rPr>
          <w:rFonts w:ascii="Times New Roman" w:hAnsi="Times New Roman"/>
          <w:i/>
          <w:sz w:val="20"/>
          <w:szCs w:val="20"/>
        </w:rPr>
        <w:t>Limnology and Oceanography</w:t>
      </w:r>
      <w:r w:rsidRPr="005C297B">
        <w:rPr>
          <w:rFonts w:ascii="Times New Roman" w:hAnsi="Times New Roman"/>
          <w:sz w:val="20"/>
          <w:szCs w:val="20"/>
        </w:rPr>
        <w:t>. 7: 196–205.</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Durridge Company Inc. (2014). RAD H2O user manual radon in water accessory.</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Baskaran, M. (2016). Radon measurement techniques in: Radon: A tracer for geological, geophysical and geochemical studies. </w:t>
      </w:r>
      <w:r w:rsidRPr="005C297B">
        <w:rPr>
          <w:rFonts w:ascii="Times New Roman" w:hAnsi="Times New Roman"/>
          <w:i/>
          <w:sz w:val="20"/>
          <w:szCs w:val="20"/>
        </w:rPr>
        <w:t>Springer Geochemistry</w:t>
      </w:r>
      <w:r w:rsidRPr="005C297B">
        <w:rPr>
          <w:rFonts w:ascii="Times New Roman" w:hAnsi="Times New Roman"/>
          <w:sz w:val="20"/>
          <w:szCs w:val="20"/>
        </w:rPr>
        <w:t>: pp. 15-35.</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Dulaiova, H., Peterson, R. N., Burnett, W. C. and Lane-Smith, D. (2005). A multi-detector continuous monitor for assessment of </w:t>
      </w:r>
      <w:r w:rsidRPr="005C297B">
        <w:rPr>
          <w:rFonts w:ascii="Times New Roman" w:hAnsi="Times New Roman"/>
          <w:sz w:val="20"/>
          <w:szCs w:val="20"/>
          <w:vertAlign w:val="superscript"/>
        </w:rPr>
        <w:t>222</w:t>
      </w:r>
      <w:r w:rsidRPr="005C297B">
        <w:rPr>
          <w:rFonts w:ascii="Times New Roman" w:hAnsi="Times New Roman"/>
          <w:sz w:val="20"/>
          <w:szCs w:val="20"/>
        </w:rPr>
        <w:t xml:space="preserve">Rn in the coastal ocean. </w:t>
      </w:r>
      <w:r w:rsidRPr="005C297B">
        <w:rPr>
          <w:rFonts w:ascii="Times New Roman" w:hAnsi="Times New Roman"/>
          <w:i/>
          <w:sz w:val="20"/>
          <w:szCs w:val="20"/>
        </w:rPr>
        <w:t xml:space="preserve">Journal of Radioanalytical and Nuclear Chemistry, </w:t>
      </w:r>
      <w:r w:rsidRPr="005C297B">
        <w:rPr>
          <w:rFonts w:ascii="Times New Roman" w:hAnsi="Times New Roman"/>
          <w:sz w:val="20"/>
          <w:szCs w:val="20"/>
        </w:rPr>
        <w:t>263, 361–365.</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Najilah, M., Nadirah, M., Sakri, I. and Shaharom-Harrison, F. (2010). Bacteria associated with wild mud crab (</w:t>
      </w:r>
      <w:r w:rsidRPr="005C297B">
        <w:rPr>
          <w:rFonts w:ascii="Times New Roman" w:hAnsi="Times New Roman"/>
          <w:i/>
          <w:sz w:val="20"/>
          <w:szCs w:val="20"/>
        </w:rPr>
        <w:t>Scylla serrata</w:t>
      </w:r>
      <w:r w:rsidRPr="005C297B">
        <w:rPr>
          <w:rFonts w:ascii="Times New Roman" w:hAnsi="Times New Roman"/>
          <w:sz w:val="20"/>
          <w:szCs w:val="20"/>
        </w:rPr>
        <w:t xml:space="preserve">) from Setiu Malaysia with emphasis on antibiotic resistance. </w:t>
      </w:r>
      <w:r w:rsidRPr="005C297B">
        <w:rPr>
          <w:rFonts w:ascii="Times New Roman" w:hAnsi="Times New Roman"/>
          <w:i/>
          <w:sz w:val="20"/>
          <w:szCs w:val="20"/>
        </w:rPr>
        <w:t>Pakistan Journal of Biological Sciences</w:t>
      </w:r>
      <w:r w:rsidRPr="005C297B">
        <w:rPr>
          <w:rFonts w:ascii="Times New Roman" w:hAnsi="Times New Roman"/>
          <w:sz w:val="20"/>
          <w:szCs w:val="20"/>
        </w:rPr>
        <w:t>, 13(6): 293–297.</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Suratman, S., Mohd Tahir, N., Jusoh, S. R. and Ariffin, M. M. (2005). Assessment of anthropogenic effects on water quality in Setiu Wetland, Terengganu. </w:t>
      </w:r>
      <w:r w:rsidRPr="005C297B">
        <w:rPr>
          <w:rFonts w:ascii="Times New Roman" w:hAnsi="Times New Roman"/>
          <w:i/>
          <w:sz w:val="20"/>
          <w:szCs w:val="20"/>
        </w:rPr>
        <w:t>Sains Malaysiana</w:t>
      </w:r>
      <w:r w:rsidRPr="005C297B">
        <w:rPr>
          <w:rFonts w:ascii="Times New Roman" w:hAnsi="Times New Roman"/>
          <w:sz w:val="20"/>
          <w:szCs w:val="20"/>
        </w:rPr>
        <w:t>, 34: 87–92.</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Suratman, S., Hussein, A. N. A. R., Mohd Tahir, N., Latif, M. T., Mostapa, R. and Weston, K. (2016). Seasonal and spatial variability of selected surface water quality parameters in Setiu Wetlands, Terengganu, Malaysia. </w:t>
      </w:r>
      <w:r w:rsidRPr="005C297B">
        <w:rPr>
          <w:rFonts w:ascii="Times New Roman" w:hAnsi="Times New Roman"/>
          <w:i/>
          <w:sz w:val="20"/>
          <w:szCs w:val="20"/>
        </w:rPr>
        <w:t>Sains Malaysiana</w:t>
      </w:r>
      <w:r w:rsidRPr="005C297B">
        <w:rPr>
          <w:rFonts w:ascii="Times New Roman" w:hAnsi="Times New Roman"/>
          <w:sz w:val="20"/>
          <w:szCs w:val="20"/>
        </w:rPr>
        <w:t xml:space="preserve">, 45(4): 551–558. </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Rosnan, Y., Mohd, L.H. and Noor, A. M. S. (1995). Grain-size distribution of sediment in the vicinity of Setiu lagoon-estuary system. </w:t>
      </w:r>
      <w:r w:rsidRPr="005C297B">
        <w:rPr>
          <w:rFonts w:ascii="Times New Roman" w:hAnsi="Times New Roman"/>
          <w:i/>
          <w:sz w:val="20"/>
          <w:szCs w:val="20"/>
        </w:rPr>
        <w:t>Pertanika Journal of Tropical Agricultural Science</w:t>
      </w:r>
      <w:r w:rsidRPr="005C297B">
        <w:rPr>
          <w:rFonts w:ascii="Times New Roman" w:hAnsi="Times New Roman"/>
          <w:sz w:val="20"/>
          <w:szCs w:val="20"/>
        </w:rPr>
        <w:t>, 18(1): 71–76.</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Department of Irrigation and Drainage Malaysia (2016). Flood information. Access from http://infobanjir.water.gov.my/. [Access date on 10 October 2016].</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Lee, J-M. and Kim, G. (2006). A simple and rapid method for analyzing radon in coastal and groundwaters using a radon-in-air monitor. </w:t>
      </w:r>
      <w:r w:rsidRPr="005C297B">
        <w:rPr>
          <w:rFonts w:ascii="Times New Roman" w:hAnsi="Times New Roman"/>
          <w:i/>
          <w:sz w:val="20"/>
          <w:szCs w:val="20"/>
        </w:rPr>
        <w:t>Journal of Environmental Radioactivity</w:t>
      </w:r>
      <w:r w:rsidRPr="005C297B">
        <w:rPr>
          <w:rFonts w:ascii="Times New Roman" w:hAnsi="Times New Roman"/>
          <w:sz w:val="20"/>
          <w:szCs w:val="20"/>
        </w:rPr>
        <w:t>, 89(3): 219–228.</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APHA. (2005). Standard methods for the examination of water and wastewater, 21</w:t>
      </w:r>
      <w:r w:rsidRPr="005C297B">
        <w:rPr>
          <w:rFonts w:ascii="Times New Roman" w:hAnsi="Times New Roman"/>
          <w:sz w:val="20"/>
          <w:szCs w:val="20"/>
          <w:vertAlign w:val="superscript"/>
        </w:rPr>
        <w:t>st</w:t>
      </w:r>
      <w:r w:rsidRPr="005C297B">
        <w:rPr>
          <w:rFonts w:ascii="Times New Roman" w:hAnsi="Times New Roman"/>
          <w:sz w:val="20"/>
          <w:szCs w:val="20"/>
        </w:rPr>
        <w:t xml:space="preserve"> edition. American Public Health Association, Washington, DC.</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Kim, G., Burnett, W. C., Dulaiova, H., Swarzenski, P. W., Moore, W. S. (2001). Measurement of </w:t>
      </w:r>
      <w:r w:rsidRPr="005C297B">
        <w:rPr>
          <w:rFonts w:ascii="Times New Roman" w:hAnsi="Times New Roman"/>
          <w:sz w:val="20"/>
          <w:szCs w:val="20"/>
          <w:vertAlign w:val="superscript"/>
        </w:rPr>
        <w:t>224</w:t>
      </w:r>
      <w:r w:rsidRPr="005C297B">
        <w:rPr>
          <w:rFonts w:ascii="Times New Roman" w:hAnsi="Times New Roman"/>
          <w:sz w:val="20"/>
          <w:szCs w:val="20"/>
        </w:rPr>
        <w:t xml:space="preserve">Ra and </w:t>
      </w:r>
      <w:r w:rsidRPr="005C297B">
        <w:rPr>
          <w:rFonts w:ascii="Times New Roman" w:hAnsi="Times New Roman"/>
          <w:sz w:val="20"/>
          <w:szCs w:val="20"/>
          <w:vertAlign w:val="superscript"/>
        </w:rPr>
        <w:t>226</w:t>
      </w:r>
      <w:r w:rsidRPr="005C297B">
        <w:rPr>
          <w:rFonts w:ascii="Times New Roman" w:hAnsi="Times New Roman"/>
          <w:sz w:val="20"/>
          <w:szCs w:val="20"/>
        </w:rPr>
        <w:t xml:space="preserve">Ra activities in natural waters using a radon-in-air monitor. </w:t>
      </w:r>
      <w:r w:rsidRPr="005C297B">
        <w:rPr>
          <w:rFonts w:ascii="Times New Roman" w:hAnsi="Times New Roman"/>
          <w:i/>
          <w:sz w:val="20"/>
          <w:szCs w:val="20"/>
        </w:rPr>
        <w:t>Environmental Science and Technology,</w:t>
      </w:r>
      <w:r w:rsidRPr="005C297B">
        <w:rPr>
          <w:rFonts w:ascii="Times New Roman" w:hAnsi="Times New Roman"/>
          <w:sz w:val="20"/>
          <w:szCs w:val="20"/>
        </w:rPr>
        <w:t xml:space="preserve"> 35: 4680–4683.</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Corbett, D., Burnett, W., Cable, J. E. and Clark, S. B. (1998). A multiple approach to the determination of radon fluxes from sediments. </w:t>
      </w:r>
      <w:r w:rsidRPr="005C297B">
        <w:rPr>
          <w:rFonts w:ascii="Times New Roman" w:hAnsi="Times New Roman"/>
          <w:i/>
          <w:sz w:val="20"/>
          <w:szCs w:val="20"/>
        </w:rPr>
        <w:t>Journal of Radioanalytical and Nuclear Chemistry</w:t>
      </w:r>
      <w:r w:rsidRPr="005C297B">
        <w:rPr>
          <w:rFonts w:ascii="Times New Roman" w:hAnsi="Times New Roman"/>
          <w:sz w:val="20"/>
          <w:szCs w:val="20"/>
        </w:rPr>
        <w:t>, 236: 247–252.</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Clever, H. L. (1979). Solubility Data Series. Krypton, Xenon &amp; Radon-Gas solubilities. Pergamon Press, Oxford. </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Dulaiova, H., and Burnett, W. C. (2006). Radon loss across the water–air interface (Gulf of Thailand) estimated experimentally from </w:t>
      </w:r>
      <w:r w:rsidRPr="005C297B">
        <w:rPr>
          <w:rFonts w:ascii="Times New Roman" w:hAnsi="Times New Roman"/>
          <w:sz w:val="20"/>
          <w:szCs w:val="20"/>
          <w:vertAlign w:val="superscript"/>
        </w:rPr>
        <w:t>222</w:t>
      </w:r>
      <w:r w:rsidRPr="005C297B">
        <w:rPr>
          <w:rFonts w:ascii="Times New Roman" w:hAnsi="Times New Roman"/>
          <w:sz w:val="20"/>
          <w:szCs w:val="20"/>
        </w:rPr>
        <w:t>Rn-</w:t>
      </w:r>
      <w:r w:rsidRPr="005C297B">
        <w:rPr>
          <w:rFonts w:ascii="Times New Roman" w:hAnsi="Times New Roman"/>
          <w:sz w:val="20"/>
          <w:szCs w:val="20"/>
          <w:vertAlign w:val="superscript"/>
        </w:rPr>
        <w:t>224</w:t>
      </w:r>
      <w:r w:rsidRPr="005C297B">
        <w:rPr>
          <w:rFonts w:ascii="Times New Roman" w:hAnsi="Times New Roman"/>
          <w:sz w:val="20"/>
          <w:szCs w:val="20"/>
        </w:rPr>
        <w:t xml:space="preserve">Ra. </w:t>
      </w:r>
      <w:r w:rsidRPr="005C297B">
        <w:rPr>
          <w:rFonts w:ascii="Times New Roman" w:hAnsi="Times New Roman"/>
          <w:i/>
          <w:sz w:val="20"/>
          <w:szCs w:val="20"/>
        </w:rPr>
        <w:t>Geophysical Research Letters</w:t>
      </w:r>
      <w:r w:rsidRPr="005C297B">
        <w:rPr>
          <w:rFonts w:ascii="Times New Roman" w:hAnsi="Times New Roman"/>
          <w:sz w:val="20"/>
          <w:szCs w:val="20"/>
        </w:rPr>
        <w:t>, 33(5): 1–4.</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Hamada, H., Sukchan, S. and Putiso, M. (2005). Measurement of </w:t>
      </w:r>
      <w:r w:rsidRPr="005C297B">
        <w:rPr>
          <w:rFonts w:ascii="Times New Roman" w:hAnsi="Times New Roman"/>
          <w:sz w:val="20"/>
          <w:szCs w:val="20"/>
          <w:vertAlign w:val="superscript"/>
        </w:rPr>
        <w:t>222</w:t>
      </w:r>
      <w:r w:rsidRPr="005C297B">
        <w:rPr>
          <w:rFonts w:ascii="Times New Roman" w:hAnsi="Times New Roman"/>
          <w:sz w:val="20"/>
          <w:szCs w:val="20"/>
        </w:rPr>
        <w:t xml:space="preserve">Rn concentrations in surface water in northern Thailand. </w:t>
      </w:r>
      <w:r w:rsidRPr="005C297B">
        <w:rPr>
          <w:rFonts w:ascii="Times New Roman" w:hAnsi="Times New Roman"/>
          <w:i/>
          <w:sz w:val="20"/>
          <w:szCs w:val="20"/>
        </w:rPr>
        <w:t>Radioisotopes</w:t>
      </w:r>
      <w:r w:rsidRPr="005C297B">
        <w:rPr>
          <w:rFonts w:ascii="Times New Roman" w:hAnsi="Times New Roman"/>
          <w:sz w:val="20"/>
          <w:szCs w:val="20"/>
        </w:rPr>
        <w:t xml:space="preserve">, 54: 315–320. </w:t>
      </w:r>
    </w:p>
    <w:p w:rsid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Fetter, C. W. (1994). Applied hydrogeology (3</w:t>
      </w:r>
      <w:r w:rsidRPr="005C297B">
        <w:rPr>
          <w:rFonts w:ascii="Times New Roman" w:hAnsi="Times New Roman"/>
          <w:sz w:val="20"/>
          <w:szCs w:val="20"/>
          <w:vertAlign w:val="superscript"/>
        </w:rPr>
        <w:t>rd</w:t>
      </w:r>
      <w:r w:rsidRPr="005C297B">
        <w:rPr>
          <w:rFonts w:ascii="Times New Roman" w:hAnsi="Times New Roman"/>
          <w:sz w:val="20"/>
          <w:szCs w:val="20"/>
        </w:rPr>
        <w:t xml:space="preserve"> Edition). McMillian, New York.</w:t>
      </w:r>
    </w:p>
    <w:p w:rsidR="005C297B" w:rsidRPr="005C297B" w:rsidRDefault="005C297B" w:rsidP="005C297B">
      <w:pPr>
        <w:pStyle w:val="ListParagraph"/>
        <w:numPr>
          <w:ilvl w:val="0"/>
          <w:numId w:val="6"/>
        </w:numPr>
        <w:spacing w:after="0" w:line="240" w:lineRule="auto"/>
        <w:ind w:left="360"/>
        <w:contextualSpacing w:val="0"/>
        <w:jc w:val="both"/>
        <w:rPr>
          <w:rFonts w:ascii="Times New Roman" w:hAnsi="Times New Roman"/>
          <w:sz w:val="20"/>
          <w:szCs w:val="20"/>
        </w:rPr>
      </w:pPr>
      <w:r w:rsidRPr="005C297B">
        <w:rPr>
          <w:rFonts w:ascii="Times New Roman" w:hAnsi="Times New Roman"/>
          <w:sz w:val="20"/>
          <w:szCs w:val="20"/>
        </w:rPr>
        <w:t xml:space="preserve">Charette, M. A. and Buesseler, K.O. (2004). Submarine groundwater discharge of nutrients and copper to an urban sub estuary of Chesapeake Bay (Elizabeth River). </w:t>
      </w:r>
      <w:r w:rsidRPr="005C297B">
        <w:rPr>
          <w:rFonts w:ascii="Times New Roman" w:hAnsi="Times New Roman"/>
          <w:i/>
          <w:sz w:val="20"/>
          <w:szCs w:val="20"/>
        </w:rPr>
        <w:t>Limnology and Oceanography</w:t>
      </w:r>
      <w:r w:rsidRPr="005C297B">
        <w:rPr>
          <w:rFonts w:ascii="Times New Roman" w:hAnsi="Times New Roman"/>
          <w:sz w:val="20"/>
          <w:szCs w:val="20"/>
        </w:rPr>
        <w:t>, 49(2), 376–385.</w:t>
      </w:r>
    </w:p>
    <w:p w:rsidR="00D0686B" w:rsidRPr="005C297B" w:rsidRDefault="00D0686B" w:rsidP="005C297B">
      <w:pPr>
        <w:spacing w:after="0" w:line="240" w:lineRule="auto"/>
        <w:jc w:val="both"/>
        <w:rPr>
          <w:rFonts w:ascii="Times New Roman" w:hAnsi="Times New Roman"/>
          <w:b/>
          <w:color w:val="548DD4" w:themeColor="text2" w:themeTint="99"/>
          <w:sz w:val="20"/>
          <w:szCs w:val="20"/>
        </w:rPr>
      </w:pPr>
    </w:p>
    <w:sectPr w:rsidR="00D0686B" w:rsidRPr="005C297B" w:rsidSect="00045513">
      <w:headerReference w:type="even" r:id="rId26"/>
      <w:headerReference w:type="default" r:id="rId27"/>
      <w:footerReference w:type="even" r:id="rId28"/>
      <w:footerReference w:type="default" r:id="rId29"/>
      <w:pgSz w:w="12240" w:h="15840" w:code="1"/>
      <w:pgMar w:top="1800" w:right="1469" w:bottom="1699" w:left="1440" w:header="706" w:footer="706" w:gutter="0"/>
      <w:pgNumType w:start="41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8A0" w:rsidRDefault="003D78A0" w:rsidP="00FB4C59">
      <w:pPr>
        <w:spacing w:after="0" w:line="240" w:lineRule="auto"/>
      </w:pPr>
      <w:r>
        <w:separator/>
      </w:r>
    </w:p>
  </w:endnote>
  <w:endnote w:type="continuationSeparator" w:id="0">
    <w:p w:rsidR="003D78A0" w:rsidRDefault="003D78A0"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3D78A0" w:rsidRPr="00C0756D" w:rsidRDefault="003D78A0">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70AD8">
          <w:rPr>
            <w:rFonts w:ascii="Times New Roman" w:hAnsi="Times New Roman"/>
            <w:noProof/>
          </w:rPr>
          <w:t>428</w:t>
        </w:r>
        <w:r w:rsidRPr="00C0756D">
          <w:rPr>
            <w:rFonts w:ascii="Times New Roman" w:hAnsi="Times New Roman"/>
            <w:noProof/>
          </w:rPr>
          <w:fldChar w:fldCharType="end"/>
        </w:r>
      </w:p>
    </w:sdtContent>
  </w:sdt>
  <w:p w:rsidR="003D78A0" w:rsidRDefault="003D78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3D78A0" w:rsidRPr="00C0756D" w:rsidRDefault="003D78A0">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70AD8">
          <w:rPr>
            <w:rFonts w:ascii="Times New Roman" w:hAnsi="Times New Roman"/>
            <w:noProof/>
          </w:rPr>
          <w:t>427</w:t>
        </w:r>
        <w:r w:rsidRPr="00C0756D">
          <w:rPr>
            <w:rFonts w:ascii="Times New Roman" w:hAnsi="Times New Roman"/>
            <w:noProof/>
          </w:rPr>
          <w:fldChar w:fldCharType="end"/>
        </w:r>
      </w:p>
    </w:sdtContent>
  </w:sdt>
  <w:p w:rsidR="003D78A0" w:rsidRPr="004B43FF" w:rsidRDefault="003D78A0">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8A0" w:rsidRDefault="003D78A0" w:rsidP="00FB4C59">
      <w:pPr>
        <w:spacing w:after="0" w:line="240" w:lineRule="auto"/>
      </w:pPr>
      <w:r>
        <w:separator/>
      </w:r>
    </w:p>
  </w:footnote>
  <w:footnote w:type="continuationSeparator" w:id="0">
    <w:p w:rsidR="003D78A0" w:rsidRDefault="003D78A0"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A0" w:rsidRDefault="003D78A0"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22</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(201</w:t>
    </w:r>
    <w:r>
      <w:rPr>
        <w:rFonts w:ascii="Times New Roman" w:hAnsi="Times New Roman"/>
        <w:i/>
        <w:lang w:val="en-US"/>
      </w:rPr>
      <w:t>8</w:t>
    </w:r>
    <w:r w:rsidRPr="00D75B35">
      <w:rPr>
        <w:rFonts w:ascii="Times New Roman" w:hAnsi="Times New Roman"/>
        <w:i/>
      </w:rPr>
      <w:t xml:space="preserve">): </w:t>
    </w:r>
    <w:r>
      <w:rPr>
        <w:rFonts w:ascii="Times New Roman" w:hAnsi="Times New Roman"/>
        <w:i/>
        <w:lang w:val="en-US"/>
      </w:rPr>
      <w:t>416 - 428</w:t>
    </w:r>
  </w:p>
  <w:p w:rsidR="003D78A0" w:rsidRPr="004B43FF" w:rsidRDefault="003D78A0" w:rsidP="006A3A0F">
    <w:pPr>
      <w:pStyle w:val="Header"/>
      <w:jc w:val="right"/>
      <w:rPr>
        <w:rFonts w:ascii="Times New Roman" w:hAnsi="Times New Roman"/>
        <w:i/>
        <w:lang w:val="en-US"/>
      </w:rPr>
    </w:pPr>
    <w:r>
      <w:rPr>
        <w:rFonts w:ascii="Times New Roman" w:hAnsi="Times New Roman"/>
        <w:i/>
        <w:lang w:val="en-US"/>
      </w:rPr>
      <w:t>DOI: https://doi.org/10.17576/mjas-2018-2203-06</w:t>
    </w:r>
  </w:p>
  <w:p w:rsidR="003D78A0" w:rsidRDefault="003D78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8A0" w:rsidRPr="00E00E8D" w:rsidRDefault="003D78A0" w:rsidP="00E00E8D">
    <w:pPr>
      <w:spacing w:after="0" w:line="240" w:lineRule="auto"/>
      <w:ind w:left="990" w:hanging="990"/>
      <w:outlineLvl w:val="0"/>
      <w:rPr>
        <w:rFonts w:ascii="Times New Roman" w:hAnsi="Times New Roman"/>
        <w:sz w:val="20"/>
        <w:szCs w:val="20"/>
      </w:rPr>
    </w:pPr>
    <w:r>
      <w:rPr>
        <w:rFonts w:ascii="Times New Roman" w:hAnsi="Times New Roman"/>
        <w:sz w:val="20"/>
        <w:szCs w:val="20"/>
      </w:rPr>
      <w:t xml:space="preserve">Ng &amp; Poh:  </w:t>
    </w:r>
    <w:r>
      <w:rPr>
        <w:rFonts w:ascii="Times New Roman" w:hAnsi="Times New Roman"/>
        <w:sz w:val="20"/>
        <w:szCs w:val="20"/>
      </w:rPr>
      <w:tab/>
    </w:r>
    <w:r w:rsidRPr="00E00E8D">
      <w:rPr>
        <w:rFonts w:ascii="Times New Roman" w:hAnsi="Times New Roman"/>
        <w:sz w:val="20"/>
        <w:szCs w:val="20"/>
      </w:rPr>
      <w:t>QUANTIFICATION OF GROUNDWATER-DERIVED NUTRIENTS INTO BEACH RIDGE DRAINAGE USING RADON MASS BALANCE MODEL</w:t>
    </w:r>
  </w:p>
  <w:p w:rsidR="003D78A0" w:rsidRPr="00B75BF6" w:rsidRDefault="003D78A0"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E63E0"/>
    <w:multiLevelType w:val="hybridMultilevel"/>
    <w:tmpl w:val="9B66437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4">
    <w:nsid w:val="77C33E34"/>
    <w:multiLevelType w:val="hybridMultilevel"/>
    <w:tmpl w:val="946EA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evenAndOddHeaders/>
  <w:drawingGridHorizontalSpacing w:val="110"/>
  <w:displayHorizontalDrawingGridEvery w:val="2"/>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45513"/>
    <w:rsid w:val="00070690"/>
    <w:rsid w:val="00084936"/>
    <w:rsid w:val="000C49FF"/>
    <w:rsid w:val="000C5261"/>
    <w:rsid w:val="000E5AF1"/>
    <w:rsid w:val="000F77DA"/>
    <w:rsid w:val="001068E8"/>
    <w:rsid w:val="00117BCD"/>
    <w:rsid w:val="00127342"/>
    <w:rsid w:val="001D035A"/>
    <w:rsid w:val="001D3855"/>
    <w:rsid w:val="001D6F2C"/>
    <w:rsid w:val="001F2925"/>
    <w:rsid w:val="00201423"/>
    <w:rsid w:val="00221D39"/>
    <w:rsid w:val="00270AD8"/>
    <w:rsid w:val="0027164D"/>
    <w:rsid w:val="00286802"/>
    <w:rsid w:val="002B188F"/>
    <w:rsid w:val="002B3BD8"/>
    <w:rsid w:val="002F3F91"/>
    <w:rsid w:val="003034BF"/>
    <w:rsid w:val="00304767"/>
    <w:rsid w:val="00304B34"/>
    <w:rsid w:val="00312C0E"/>
    <w:rsid w:val="00361BAF"/>
    <w:rsid w:val="00367D1F"/>
    <w:rsid w:val="00373A9B"/>
    <w:rsid w:val="00383F26"/>
    <w:rsid w:val="003D585B"/>
    <w:rsid w:val="003D78A0"/>
    <w:rsid w:val="003E7DA6"/>
    <w:rsid w:val="003F12FF"/>
    <w:rsid w:val="004760D4"/>
    <w:rsid w:val="00494C46"/>
    <w:rsid w:val="004B43FF"/>
    <w:rsid w:val="004F122C"/>
    <w:rsid w:val="00502641"/>
    <w:rsid w:val="00534441"/>
    <w:rsid w:val="00545363"/>
    <w:rsid w:val="00575008"/>
    <w:rsid w:val="00583C85"/>
    <w:rsid w:val="00584156"/>
    <w:rsid w:val="005C297B"/>
    <w:rsid w:val="005C6768"/>
    <w:rsid w:val="00634C25"/>
    <w:rsid w:val="006416AB"/>
    <w:rsid w:val="006768E9"/>
    <w:rsid w:val="00687982"/>
    <w:rsid w:val="00695D0E"/>
    <w:rsid w:val="006A3A0F"/>
    <w:rsid w:val="006B0D93"/>
    <w:rsid w:val="006B3EC8"/>
    <w:rsid w:val="006D695E"/>
    <w:rsid w:val="00725A6A"/>
    <w:rsid w:val="00730CB3"/>
    <w:rsid w:val="007943F3"/>
    <w:rsid w:val="007A3A48"/>
    <w:rsid w:val="007A738C"/>
    <w:rsid w:val="007B1349"/>
    <w:rsid w:val="007E25BD"/>
    <w:rsid w:val="007F4ECC"/>
    <w:rsid w:val="00801E18"/>
    <w:rsid w:val="00802C35"/>
    <w:rsid w:val="0082181A"/>
    <w:rsid w:val="008B470E"/>
    <w:rsid w:val="008C14D6"/>
    <w:rsid w:val="008E1211"/>
    <w:rsid w:val="008E5BBF"/>
    <w:rsid w:val="008E6968"/>
    <w:rsid w:val="00993611"/>
    <w:rsid w:val="00995E7B"/>
    <w:rsid w:val="00A14DB9"/>
    <w:rsid w:val="00A4762A"/>
    <w:rsid w:val="00A74A7E"/>
    <w:rsid w:val="00A80F38"/>
    <w:rsid w:val="00A87399"/>
    <w:rsid w:val="00AC4125"/>
    <w:rsid w:val="00AD1B8A"/>
    <w:rsid w:val="00AD76AF"/>
    <w:rsid w:val="00AE1C97"/>
    <w:rsid w:val="00AE713F"/>
    <w:rsid w:val="00AF3AC1"/>
    <w:rsid w:val="00B1121C"/>
    <w:rsid w:val="00B25B65"/>
    <w:rsid w:val="00B2770A"/>
    <w:rsid w:val="00B314AD"/>
    <w:rsid w:val="00B75BF6"/>
    <w:rsid w:val="00B906D2"/>
    <w:rsid w:val="00BA1F7B"/>
    <w:rsid w:val="00BB58AF"/>
    <w:rsid w:val="00BE7C30"/>
    <w:rsid w:val="00C055BF"/>
    <w:rsid w:val="00C0756D"/>
    <w:rsid w:val="00C2226A"/>
    <w:rsid w:val="00C312E8"/>
    <w:rsid w:val="00C34BF5"/>
    <w:rsid w:val="00C94D92"/>
    <w:rsid w:val="00C97340"/>
    <w:rsid w:val="00CA513F"/>
    <w:rsid w:val="00CF05FF"/>
    <w:rsid w:val="00D0686B"/>
    <w:rsid w:val="00D134EC"/>
    <w:rsid w:val="00D340BB"/>
    <w:rsid w:val="00D4341F"/>
    <w:rsid w:val="00D505D5"/>
    <w:rsid w:val="00D63C28"/>
    <w:rsid w:val="00D71602"/>
    <w:rsid w:val="00D75B35"/>
    <w:rsid w:val="00D76E09"/>
    <w:rsid w:val="00D9736F"/>
    <w:rsid w:val="00D9792A"/>
    <w:rsid w:val="00DB504F"/>
    <w:rsid w:val="00DD377F"/>
    <w:rsid w:val="00E00E8D"/>
    <w:rsid w:val="00E074F3"/>
    <w:rsid w:val="00E25547"/>
    <w:rsid w:val="00E2773B"/>
    <w:rsid w:val="00E31A5C"/>
    <w:rsid w:val="00E3287E"/>
    <w:rsid w:val="00E66197"/>
    <w:rsid w:val="00EB5BA5"/>
    <w:rsid w:val="00EC75CB"/>
    <w:rsid w:val="00EF4195"/>
    <w:rsid w:val="00F202C3"/>
    <w:rsid w:val="00F23D94"/>
    <w:rsid w:val="00F31093"/>
    <w:rsid w:val="00F412AF"/>
    <w:rsid w:val="00F43667"/>
    <w:rsid w:val="00F447A7"/>
    <w:rsid w:val="00F467A2"/>
    <w:rsid w:val="00F57AA2"/>
    <w:rsid w:val="00F631EB"/>
    <w:rsid w:val="00FA3FCB"/>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table" w:customStyle="1" w:styleId="LightShading1">
    <w:name w:val="Light Shading1"/>
    <w:basedOn w:val="TableNormal"/>
    <w:uiPriority w:val="60"/>
    <w:rsid w:val="00D0686B"/>
    <w:rPr>
      <w:rFonts w:asciiTheme="minorHAnsi" w:eastAsiaTheme="minorEastAsia" w:hAnsiTheme="minorHAnsi" w:cstheme="minorBidi"/>
      <w:color w:val="000000" w:themeColor="text1" w:themeShade="BF"/>
      <w:kern w:val="2"/>
      <w:szCs w:val="22"/>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unhideWhenUsed/>
    <w:rsid w:val="00D0686B"/>
    <w:rPr>
      <w:rFonts w:asciiTheme="minorHAnsi" w:eastAsia="SimSun"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D0686B"/>
  </w:style>
  <w:style w:type="character" w:customStyle="1" w:styleId="authors0">
    <w:name w:val="authors"/>
    <w:basedOn w:val="DefaultParagraphFont"/>
    <w:rsid w:val="00D0686B"/>
  </w:style>
  <w:style w:type="character" w:customStyle="1" w:styleId="Date1">
    <w:name w:val="Date1"/>
    <w:basedOn w:val="DefaultParagraphFont"/>
    <w:rsid w:val="00D0686B"/>
  </w:style>
  <w:style w:type="character" w:customStyle="1" w:styleId="arttitle">
    <w:name w:val="art_title"/>
    <w:basedOn w:val="DefaultParagraphFont"/>
    <w:rsid w:val="00D0686B"/>
  </w:style>
  <w:style w:type="character" w:customStyle="1" w:styleId="serialtitle">
    <w:name w:val="serial_title"/>
    <w:basedOn w:val="DefaultParagraphFont"/>
    <w:rsid w:val="00D0686B"/>
  </w:style>
  <w:style w:type="character" w:customStyle="1" w:styleId="volumeissue">
    <w:name w:val="volume_issue"/>
    <w:basedOn w:val="DefaultParagraphFont"/>
    <w:rsid w:val="00D0686B"/>
  </w:style>
  <w:style w:type="character" w:customStyle="1" w:styleId="pagerange">
    <w:name w:val="page_range"/>
    <w:basedOn w:val="DefaultParagraphFont"/>
    <w:rsid w:val="00D0686B"/>
  </w:style>
  <w:style w:type="character" w:styleId="PlaceholderText">
    <w:name w:val="Placeholder Text"/>
    <w:basedOn w:val="DefaultParagraphFont"/>
    <w:uiPriority w:val="99"/>
    <w:semiHidden/>
    <w:rsid w:val="00D0686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table" w:customStyle="1" w:styleId="LightShading1">
    <w:name w:val="Light Shading1"/>
    <w:basedOn w:val="TableNormal"/>
    <w:uiPriority w:val="60"/>
    <w:rsid w:val="00D0686B"/>
    <w:rPr>
      <w:rFonts w:asciiTheme="minorHAnsi" w:eastAsiaTheme="minorEastAsia" w:hAnsiTheme="minorHAnsi" w:cstheme="minorBidi"/>
      <w:color w:val="000000" w:themeColor="text1" w:themeShade="BF"/>
      <w:kern w:val="2"/>
      <w:szCs w:val="22"/>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unhideWhenUsed/>
    <w:rsid w:val="00D0686B"/>
    <w:rPr>
      <w:rFonts w:asciiTheme="minorHAnsi" w:eastAsia="SimSun"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D0686B"/>
  </w:style>
  <w:style w:type="character" w:customStyle="1" w:styleId="authors0">
    <w:name w:val="authors"/>
    <w:basedOn w:val="DefaultParagraphFont"/>
    <w:rsid w:val="00D0686B"/>
  </w:style>
  <w:style w:type="character" w:customStyle="1" w:styleId="Date1">
    <w:name w:val="Date1"/>
    <w:basedOn w:val="DefaultParagraphFont"/>
    <w:rsid w:val="00D0686B"/>
  </w:style>
  <w:style w:type="character" w:customStyle="1" w:styleId="arttitle">
    <w:name w:val="art_title"/>
    <w:basedOn w:val="DefaultParagraphFont"/>
    <w:rsid w:val="00D0686B"/>
  </w:style>
  <w:style w:type="character" w:customStyle="1" w:styleId="serialtitle">
    <w:name w:val="serial_title"/>
    <w:basedOn w:val="DefaultParagraphFont"/>
    <w:rsid w:val="00D0686B"/>
  </w:style>
  <w:style w:type="character" w:customStyle="1" w:styleId="volumeissue">
    <w:name w:val="volume_issue"/>
    <w:basedOn w:val="DefaultParagraphFont"/>
    <w:rsid w:val="00D0686B"/>
  </w:style>
  <w:style w:type="character" w:customStyle="1" w:styleId="pagerange">
    <w:name w:val="page_range"/>
    <w:basedOn w:val="DefaultParagraphFont"/>
    <w:rsid w:val="00D0686B"/>
  </w:style>
  <w:style w:type="character" w:styleId="PlaceholderText">
    <w:name w:val="Placeholder Text"/>
    <w:basedOn w:val="DefaultParagraphFont"/>
    <w:uiPriority w:val="99"/>
    <w:semiHidden/>
    <w:rsid w:val="00D068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4.xml"/><Relationship Id="rId26" Type="http://schemas.openxmlformats.org/officeDocument/2006/relationships/header" Target="header1.xml"/><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3.xm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07/relationships/hdphoto" Target="media/hdphoto2.wdp"/><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hart" Target="charts/chart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H:\KAP\MASTER\Writing\SGD\Data%20for%20SGD%20Sg.Ular\1%20January%20March%202015%20surface%20water.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017884470663105"/>
          <c:y val="0.11862806855025475"/>
          <c:w val="0.69471889954572486"/>
          <c:h val="0.66503491308869411"/>
        </c:manualLayout>
      </c:layout>
      <c:scatterChart>
        <c:scatterStyle val="smoothMarker"/>
        <c:varyColors val="0"/>
        <c:ser>
          <c:idx val="1"/>
          <c:order val="0"/>
          <c:tx>
            <c:v>Sampling 1</c:v>
          </c:tx>
          <c:spPr>
            <a:ln w="28575" cap="rnd">
              <a:solidFill>
                <a:schemeClr val="tx1"/>
              </a:solidFill>
              <a:round/>
            </a:ln>
            <a:effectLst/>
          </c:spPr>
          <c:marker>
            <c:symbol val="circle"/>
            <c:size val="5"/>
            <c:spPr>
              <a:solidFill>
                <a:schemeClr val="tx1"/>
              </a:solidFill>
              <a:ln w="9525">
                <a:solidFill>
                  <a:schemeClr val="tx1"/>
                </a:solidFill>
              </a:ln>
              <a:effectLst/>
            </c:spPr>
          </c:marker>
          <c:xVal>
            <c:numRef>
              <c:f>Sheet1!$F$86:$F$96</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Sheet1!$G$86:$G$96</c:f>
              <c:numCache>
                <c:formatCode>General</c:formatCode>
                <c:ptCount val="11"/>
                <c:pt idx="0">
                  <c:v>1.75</c:v>
                </c:pt>
                <c:pt idx="1">
                  <c:v>0.34</c:v>
                </c:pt>
                <c:pt idx="2">
                  <c:v>0.31</c:v>
                </c:pt>
                <c:pt idx="3">
                  <c:v>0.32</c:v>
                </c:pt>
                <c:pt idx="4">
                  <c:v>0.08</c:v>
                </c:pt>
                <c:pt idx="5">
                  <c:v>0.02</c:v>
                </c:pt>
                <c:pt idx="6">
                  <c:v>0.02</c:v>
                </c:pt>
                <c:pt idx="7">
                  <c:v>0.02</c:v>
                </c:pt>
                <c:pt idx="8">
                  <c:v>0.02</c:v>
                </c:pt>
                <c:pt idx="9">
                  <c:v>0.02</c:v>
                </c:pt>
                <c:pt idx="10">
                  <c:v>0.01</c:v>
                </c:pt>
              </c:numCache>
            </c:numRef>
          </c:yVal>
          <c:smooth val="1"/>
          <c:extLst xmlns:c16r2="http://schemas.microsoft.com/office/drawing/2015/06/chart">
            <c:ext xmlns:c16="http://schemas.microsoft.com/office/drawing/2014/chart" uri="{C3380CC4-5D6E-409C-BE32-E72D297353CC}">
              <c16:uniqueId val="{00000000-7BD4-4C45-9A35-F9BA6CA92D64}"/>
            </c:ext>
          </c:extLst>
        </c:ser>
        <c:ser>
          <c:idx val="0"/>
          <c:order val="1"/>
          <c:tx>
            <c:v>Sampling 2</c:v>
          </c:tx>
          <c:spPr>
            <a:ln w="28575" cap="rnd" cmpd="sng">
              <a:solidFill>
                <a:schemeClr val="bg2">
                  <a:lumMod val="75000"/>
                </a:schemeClr>
              </a:solidFill>
              <a:round/>
            </a:ln>
            <a:effectLst/>
          </c:spPr>
          <c:marker>
            <c:symbol val="circle"/>
            <c:size val="5"/>
            <c:spPr>
              <a:solidFill>
                <a:schemeClr val="bg2">
                  <a:lumMod val="75000"/>
                </a:schemeClr>
              </a:solidFill>
              <a:ln w="12700">
                <a:solidFill>
                  <a:schemeClr val="bg2">
                    <a:lumMod val="75000"/>
                  </a:schemeClr>
                </a:solidFill>
              </a:ln>
              <a:effectLst/>
            </c:spPr>
          </c:marker>
          <c:xVal>
            <c:numRef>
              <c:f>Sheet1!$F$101:$F$112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Sheet1!$G$101:$G$112</c:f>
              <c:numCache>
                <c:formatCode>0.00</c:formatCode>
                <c:ptCount val="12"/>
                <c:pt idx="0">
                  <c:v>33.119999999999997</c:v>
                </c:pt>
                <c:pt idx="1">
                  <c:v>26.54</c:v>
                </c:pt>
                <c:pt idx="2">
                  <c:v>26.38</c:v>
                </c:pt>
                <c:pt idx="3">
                  <c:v>22.16</c:v>
                </c:pt>
                <c:pt idx="4">
                  <c:v>17.420000000000002</c:v>
                </c:pt>
                <c:pt idx="5">
                  <c:v>7.53</c:v>
                </c:pt>
                <c:pt idx="6">
                  <c:v>14.7</c:v>
                </c:pt>
                <c:pt idx="7">
                  <c:v>2.27</c:v>
                </c:pt>
                <c:pt idx="8">
                  <c:v>0.02</c:v>
                </c:pt>
                <c:pt idx="9">
                  <c:v>0.03</c:v>
                </c:pt>
                <c:pt idx="10">
                  <c:v>0.03</c:v>
                </c:pt>
                <c:pt idx="11">
                  <c:v>0.03</c:v>
                </c:pt>
              </c:numCache>
            </c:numRef>
          </c:yVal>
          <c:smooth val="1"/>
          <c:extLst xmlns:c16r2="http://schemas.microsoft.com/office/drawing/2015/06/chart">
            <c:ext xmlns:c16="http://schemas.microsoft.com/office/drawing/2014/chart" uri="{C3380CC4-5D6E-409C-BE32-E72D297353CC}">
              <c16:uniqueId val="{00000001-7BD4-4C45-9A35-F9BA6CA92D64}"/>
            </c:ext>
          </c:extLst>
        </c:ser>
        <c:dLbls>
          <c:showLegendKey val="0"/>
          <c:showVal val="0"/>
          <c:showCatName val="0"/>
          <c:showSerName val="0"/>
          <c:showPercent val="0"/>
          <c:showBubbleSize val="0"/>
        </c:dLbls>
        <c:axId val="96392704"/>
        <c:axId val="96394624"/>
      </c:scatterChart>
      <c:valAx>
        <c:axId val="96392704"/>
        <c:scaling>
          <c:orientation val="minMax"/>
          <c:max val="2.5"/>
          <c:min val="0"/>
        </c:scaling>
        <c:delete val="0"/>
        <c:axPos val="b"/>
        <c:numFmt formatCode="0.0" sourceLinked="0"/>
        <c:majorTickMark val="none"/>
        <c:minorTickMark val="none"/>
        <c:tickLblPos val="nextTo"/>
        <c:spPr>
          <a:noFill/>
          <a:ln w="9525" cap="flat" cmpd="sng" algn="ctr">
            <a:solidFill>
              <a:schemeClr val="tx1"/>
            </a:solidFill>
            <a:round/>
          </a:ln>
          <a:effectLst/>
        </c:spPr>
        <c:txPr>
          <a:bodyPr rot="-60000000" vert="horz"/>
          <a:lstStyle/>
          <a:p>
            <a:pPr>
              <a:defRPr sz="900">
                <a:latin typeface="+mn-lt"/>
              </a:defRPr>
            </a:pPr>
            <a:endParaRPr lang="en-US"/>
          </a:p>
        </c:txPr>
        <c:crossAx val="96394624"/>
        <c:crosses val="autoZero"/>
        <c:crossBetween val="midCat"/>
      </c:valAx>
      <c:valAx>
        <c:axId val="96394624"/>
        <c:scaling>
          <c:orientation val="minMax"/>
          <c:min val="0"/>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Salinity (ppt)</a:t>
                </a:r>
              </a:p>
            </c:rich>
          </c:tx>
          <c:layout/>
          <c:overlay val="0"/>
        </c:title>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sz="900">
                <a:latin typeface="+mn-lt"/>
              </a:defRPr>
            </a:pPr>
            <a:endParaRPr lang="en-US"/>
          </a:p>
        </c:txPr>
        <c:crossAx val="96392704"/>
        <c:crosses val="autoZero"/>
        <c:crossBetween val="midCat"/>
      </c:valAx>
      <c:spPr>
        <a:noFill/>
        <a:ln>
          <a:solidFill>
            <a:schemeClr val="tx1"/>
          </a:solidFill>
        </a:ln>
        <a:effectLst/>
      </c:spPr>
    </c:plotArea>
    <c:plotVisOnly val="1"/>
    <c:dispBlanksAs val="gap"/>
    <c:showDLblsOverMax val="0"/>
  </c:chart>
  <c:spPr>
    <a:noFill/>
    <a:ln w="9525" cap="flat" cmpd="sng" algn="ctr">
      <a:solidFill>
        <a:sysClr val="windowText" lastClr="000000"/>
      </a:solidFill>
      <a:round/>
    </a:ln>
    <a:effectLst/>
  </c:spPr>
  <c:txPr>
    <a:bodyPr/>
    <a:lstStyle/>
    <a:p>
      <a:pPr>
        <a:defRPr>
          <a:latin typeface="Times New Roman" pitchFamily="18" charset="0"/>
          <a:cs typeface="Times New Roman" pitchFamily="18"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6337169392287502"/>
          <c:y val="9.9911996294580807E-2"/>
          <c:w val="0.66914458110508834"/>
          <c:h val="0.66626429950973109"/>
        </c:manualLayout>
      </c:layout>
      <c:scatterChart>
        <c:scatterStyle val="smoothMarker"/>
        <c:varyColors val="0"/>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Sheet1!$N$101:$N$112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Sheet1!$O$101:$O$112</c:f>
              <c:numCache>
                <c:formatCode>0.00</c:formatCode>
                <c:ptCount val="12"/>
                <c:pt idx="0">
                  <c:v>103.53</c:v>
                </c:pt>
                <c:pt idx="1">
                  <c:v>220.5</c:v>
                </c:pt>
                <c:pt idx="2">
                  <c:v>279.3</c:v>
                </c:pt>
                <c:pt idx="7">
                  <c:v>210</c:v>
                </c:pt>
                <c:pt idx="8">
                  <c:v>256.2</c:v>
                </c:pt>
                <c:pt idx="9">
                  <c:v>212.10000000000002</c:v>
                </c:pt>
                <c:pt idx="10">
                  <c:v>287.7</c:v>
                </c:pt>
                <c:pt idx="11">
                  <c:v>420</c:v>
                </c:pt>
              </c:numCache>
            </c:numRef>
          </c:yVal>
          <c:smooth val="1"/>
          <c:extLst xmlns:c16r2="http://schemas.microsoft.com/office/drawing/2015/06/chart">
            <c:ext xmlns:c16="http://schemas.microsoft.com/office/drawing/2014/chart" uri="{C3380CC4-5D6E-409C-BE32-E72D297353CC}">
              <c16:uniqueId val="{00000000-BB2F-4207-84DB-EFFF4A5386DE}"/>
            </c:ext>
          </c:extLst>
        </c:ser>
        <c:ser>
          <c:idx val="1"/>
          <c:order val="1"/>
          <c:spPr>
            <a:ln>
              <a:solidFill>
                <a:schemeClr val="tx1"/>
              </a:solidFill>
            </a:ln>
          </c:spPr>
          <c:marker>
            <c:symbol val="circle"/>
            <c:size val="5"/>
            <c:spPr>
              <a:solidFill>
                <a:schemeClr val="tx1"/>
              </a:solidFill>
              <a:ln>
                <a:solidFill>
                  <a:schemeClr val="tx1"/>
                </a:solidFill>
              </a:ln>
            </c:spPr>
          </c:marker>
          <c:xVal>
            <c:numRef>
              <c:f>Sheet1!$N$85:$N$95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Sheet1!$O$85:$O$95</c:f>
              <c:numCache>
                <c:formatCode>0.00</c:formatCode>
                <c:ptCount val="11"/>
                <c:pt idx="0">
                  <c:v>466.20000000000005</c:v>
                </c:pt>
                <c:pt idx="1">
                  <c:v>422.1</c:v>
                </c:pt>
                <c:pt idx="2">
                  <c:v>476.70000000000005</c:v>
                </c:pt>
                <c:pt idx="4">
                  <c:v>493.5</c:v>
                </c:pt>
                <c:pt idx="5">
                  <c:v>474.6</c:v>
                </c:pt>
                <c:pt idx="6">
                  <c:v>541.80000000000007</c:v>
                </c:pt>
                <c:pt idx="7">
                  <c:v>581.70000000000005</c:v>
                </c:pt>
                <c:pt idx="9">
                  <c:v>1507.8</c:v>
                </c:pt>
              </c:numCache>
            </c:numRef>
          </c:yVal>
          <c:smooth val="1"/>
          <c:extLst xmlns:c16r2="http://schemas.microsoft.com/office/drawing/2015/06/chart">
            <c:ext xmlns:c16="http://schemas.microsoft.com/office/drawing/2014/chart" uri="{C3380CC4-5D6E-409C-BE32-E72D297353CC}">
              <c16:uniqueId val="{00000001-BB2F-4207-84DB-EFFF4A5386DE}"/>
            </c:ext>
          </c:extLst>
        </c:ser>
        <c:dLbls>
          <c:showLegendKey val="0"/>
          <c:showVal val="0"/>
          <c:showCatName val="0"/>
          <c:showSerName val="0"/>
          <c:showPercent val="0"/>
          <c:showBubbleSize val="0"/>
        </c:dLbls>
        <c:axId val="96736384"/>
        <c:axId val="96738304"/>
      </c:scatterChart>
      <c:valAx>
        <c:axId val="96736384"/>
        <c:scaling>
          <c:orientation val="minMax"/>
          <c:max val="2.5"/>
          <c:min val="0"/>
        </c:scaling>
        <c:delete val="0"/>
        <c:axPos val="b"/>
        <c:numFmt formatCode="0.0" sourceLinked="0"/>
        <c:majorTickMark val="out"/>
        <c:minorTickMark val="none"/>
        <c:tickLblPos val="nextTo"/>
        <c:spPr>
          <a:ln>
            <a:solidFill>
              <a:schemeClr val="tx1"/>
            </a:solidFill>
          </a:ln>
        </c:spPr>
        <c:txPr>
          <a:bodyPr/>
          <a:lstStyle/>
          <a:p>
            <a:pPr>
              <a:defRPr sz="900"/>
            </a:pPr>
            <a:endParaRPr lang="en-US"/>
          </a:p>
        </c:txPr>
        <c:crossAx val="96738304"/>
        <c:crosses val="autoZero"/>
        <c:crossBetween val="midCat"/>
      </c:valAx>
      <c:valAx>
        <c:axId val="96738304"/>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Rn</a:t>
                </a:r>
                <a:r>
                  <a:rPr lang="en-US" baseline="0">
                    <a:latin typeface="Times New Roman" pitchFamily="18" charset="0"/>
                    <a:cs typeface="Times New Roman" pitchFamily="18" charset="0"/>
                  </a:rPr>
                  <a:t> (Bq/m</a:t>
                </a:r>
                <a:r>
                  <a:rPr lang="en-US" baseline="30000">
                    <a:latin typeface="Times New Roman" pitchFamily="18" charset="0"/>
                    <a:cs typeface="Times New Roman" pitchFamily="18" charset="0"/>
                  </a:rPr>
                  <a:t>3</a:t>
                </a:r>
                <a:r>
                  <a:rPr lang="en-US" baseline="0">
                    <a:latin typeface="Times New Roman" pitchFamily="18" charset="0"/>
                    <a:cs typeface="Times New Roman" pitchFamily="18" charset="0"/>
                  </a:rPr>
                  <a:t>)</a:t>
                </a:r>
                <a:endParaRPr lang="en-US">
                  <a:latin typeface="Times New Roman" pitchFamily="18" charset="0"/>
                  <a:cs typeface="Times New Roman" pitchFamily="18" charset="0"/>
                </a:endParaRPr>
              </a:p>
            </c:rich>
          </c:tx>
          <c:layout>
            <c:manualLayout>
              <c:xMode val="edge"/>
              <c:yMode val="edge"/>
              <c:x val="1.1540680900173111E-2"/>
              <c:y val="0.1147382939171268"/>
            </c:manualLayout>
          </c:layout>
          <c:overlay val="0"/>
        </c:title>
        <c:numFmt formatCode="0" sourceLinked="0"/>
        <c:majorTickMark val="out"/>
        <c:minorTickMark val="none"/>
        <c:tickLblPos val="nextTo"/>
        <c:spPr>
          <a:ln>
            <a:solidFill>
              <a:schemeClr val="tx1"/>
            </a:solidFill>
          </a:ln>
        </c:spPr>
        <c:txPr>
          <a:bodyPr/>
          <a:lstStyle/>
          <a:p>
            <a:pPr>
              <a:defRPr sz="900"/>
            </a:pPr>
            <a:endParaRPr lang="en-US"/>
          </a:p>
        </c:txPr>
        <c:crossAx val="96736384"/>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7400817200608"/>
          <c:y val="9.9911996294580807E-2"/>
          <c:w val="0.6912441954371088"/>
          <c:h val="0.64987279007576881"/>
        </c:manualLayout>
      </c:layout>
      <c:scatterChart>
        <c:scatterStyle val="smoothMarker"/>
        <c:varyColors val="0"/>
        <c:ser>
          <c:idx val="1"/>
          <c:order val="1"/>
          <c:spPr>
            <a:ln>
              <a:solidFill>
                <a:schemeClr val="tx1"/>
              </a:solidFill>
            </a:ln>
          </c:spPr>
          <c:marker>
            <c:symbol val="circle"/>
            <c:size val="5"/>
            <c:spPr>
              <a:solidFill>
                <a:schemeClr val="tx1"/>
              </a:solidFill>
              <a:ln>
                <a:solidFill>
                  <a:schemeClr val="tx1"/>
                </a:solidFill>
              </a:ln>
            </c:spPr>
          </c:marker>
          <c:xVal>
            <c:numRef>
              <c:f>Sheet1!$Q$85:$Q$95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Sheet1!$R$85:$R$95</c:f>
              <c:numCache>
                <c:formatCode>0.00</c:formatCode>
                <c:ptCount val="11"/>
                <c:pt idx="0">
                  <c:v>4.0466570466570468</c:v>
                </c:pt>
                <c:pt idx="1">
                  <c:v>4.3544973544973544</c:v>
                </c:pt>
                <c:pt idx="2">
                  <c:v>4.0757575757575761</c:v>
                </c:pt>
                <c:pt idx="3">
                  <c:v>3.8537758537758537</c:v>
                </c:pt>
                <c:pt idx="4">
                  <c:v>3.6883116883116887</c:v>
                </c:pt>
                <c:pt idx="5">
                  <c:v>3.7842712842712842</c:v>
                </c:pt>
                <c:pt idx="6">
                  <c:v>3.8229918229918232</c:v>
                </c:pt>
                <c:pt idx="7">
                  <c:v>4.8749398749398756</c:v>
                </c:pt>
                <c:pt idx="8">
                  <c:v>4.1269841269841274</c:v>
                </c:pt>
                <c:pt idx="9">
                  <c:v>2.7679172679172681</c:v>
                </c:pt>
                <c:pt idx="10">
                  <c:v>4.2491582491582491</c:v>
                </c:pt>
              </c:numCache>
            </c:numRef>
          </c:yVal>
          <c:smooth val="1"/>
          <c:extLst xmlns:c16r2="http://schemas.microsoft.com/office/drawing/2015/06/chart">
            <c:ext xmlns:c16="http://schemas.microsoft.com/office/drawing/2014/chart" uri="{C3380CC4-5D6E-409C-BE32-E72D297353CC}">
              <c16:uniqueId val="{00000000-CAB7-40DC-B7EB-BE77D596EE2B}"/>
            </c:ext>
          </c:extLst>
        </c:ser>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Sheet1!$Q$101:$Q$112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Sheet1!$R$101:$R$112</c:f>
              <c:numCache>
                <c:formatCode>0.00</c:formatCode>
                <c:ptCount val="12"/>
                <c:pt idx="0">
                  <c:v>1.0721500721500721</c:v>
                </c:pt>
                <c:pt idx="1">
                  <c:v>1.9499759499759499</c:v>
                </c:pt>
                <c:pt idx="2">
                  <c:v>1.5199615199615202</c:v>
                </c:pt>
                <c:pt idx="3">
                  <c:v>1.7162097162097161</c:v>
                </c:pt>
                <c:pt idx="4">
                  <c:v>2.5036075036075038</c:v>
                </c:pt>
                <c:pt idx="5">
                  <c:v>1.9066859066859068</c:v>
                </c:pt>
                <c:pt idx="6">
                  <c:v>1.716931216931217</c:v>
                </c:pt>
                <c:pt idx="7">
                  <c:v>1.9742664742664744</c:v>
                </c:pt>
                <c:pt idx="8">
                  <c:v>1.9978354978354977</c:v>
                </c:pt>
                <c:pt idx="9">
                  <c:v>2.0613275613275617</c:v>
                </c:pt>
                <c:pt idx="10">
                  <c:v>1.9995189995189995</c:v>
                </c:pt>
                <c:pt idx="11">
                  <c:v>4.4873300639730641E-2</c:v>
                </c:pt>
              </c:numCache>
            </c:numRef>
          </c:yVal>
          <c:smooth val="1"/>
          <c:extLst xmlns:c16r2="http://schemas.microsoft.com/office/drawing/2015/06/chart">
            <c:ext xmlns:c16="http://schemas.microsoft.com/office/drawing/2014/chart" uri="{C3380CC4-5D6E-409C-BE32-E72D297353CC}">
              <c16:uniqueId val="{00000001-CAB7-40DC-B7EB-BE77D596EE2B}"/>
            </c:ext>
          </c:extLst>
        </c:ser>
        <c:dLbls>
          <c:showLegendKey val="0"/>
          <c:showVal val="0"/>
          <c:showCatName val="0"/>
          <c:showSerName val="0"/>
          <c:showPercent val="0"/>
          <c:showBubbleSize val="0"/>
        </c:dLbls>
        <c:axId val="96747520"/>
        <c:axId val="96749440"/>
      </c:scatterChart>
      <c:valAx>
        <c:axId val="96747520"/>
        <c:scaling>
          <c:orientation val="minMax"/>
          <c:max val="2.5"/>
          <c:min val="0"/>
        </c:scaling>
        <c:delete val="0"/>
        <c:axPos val="b"/>
        <c:numFmt formatCode="0.0" sourceLinked="0"/>
        <c:majorTickMark val="out"/>
        <c:minorTickMark val="none"/>
        <c:tickLblPos val="nextTo"/>
        <c:spPr>
          <a:ln>
            <a:solidFill>
              <a:schemeClr val="tx1"/>
            </a:solidFill>
          </a:ln>
        </c:spPr>
        <c:txPr>
          <a:bodyPr/>
          <a:lstStyle/>
          <a:p>
            <a:pPr>
              <a:defRPr sz="900"/>
            </a:pPr>
            <a:endParaRPr lang="en-US"/>
          </a:p>
        </c:txPr>
        <c:crossAx val="96749440"/>
        <c:crosses val="autoZero"/>
        <c:crossBetween val="midCat"/>
      </c:valAx>
      <c:valAx>
        <c:axId val="96749440"/>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NH</a:t>
                </a:r>
                <a:r>
                  <a:rPr lang="en-US" baseline="-25000">
                    <a:latin typeface="Times New Roman" pitchFamily="18" charset="0"/>
                    <a:cs typeface="Times New Roman" pitchFamily="18" charset="0"/>
                  </a:rPr>
                  <a:t>4</a:t>
                </a:r>
                <a:r>
                  <a:rPr lang="en-US" baseline="30000">
                    <a:latin typeface="Times New Roman" pitchFamily="18" charset="0"/>
                    <a:cs typeface="Times New Roman" pitchFamily="18" charset="0"/>
                  </a:rPr>
                  <a:t>+</a:t>
                </a:r>
                <a:r>
                  <a:rPr lang="en-US" baseline="0">
                    <a:latin typeface="Times New Roman" pitchFamily="18" charset="0"/>
                    <a:cs typeface="Times New Roman" pitchFamily="18" charset="0"/>
                  </a:rPr>
                  <a:t>-N</a:t>
                </a:r>
                <a:r>
                  <a:rPr lang="en-US">
                    <a:latin typeface="Times New Roman" pitchFamily="18" charset="0"/>
                    <a:cs typeface="Times New Roman" pitchFamily="18" charset="0"/>
                  </a:rPr>
                  <a:t> (µM)</a:t>
                </a:r>
              </a:p>
            </c:rich>
          </c:tx>
          <c:layout>
            <c:manualLayout>
              <c:xMode val="edge"/>
              <c:yMode val="edge"/>
              <c:x val="3.8444128910115741E-2"/>
              <c:y val="6.4937796659424604E-2"/>
            </c:manualLayout>
          </c:layout>
          <c:overlay val="0"/>
        </c:title>
        <c:numFmt formatCode="0.0" sourceLinked="0"/>
        <c:majorTickMark val="out"/>
        <c:minorTickMark val="none"/>
        <c:tickLblPos val="nextTo"/>
        <c:spPr>
          <a:noFill/>
          <a:ln>
            <a:solidFill>
              <a:schemeClr val="tx1"/>
            </a:solidFill>
          </a:ln>
        </c:spPr>
        <c:txPr>
          <a:bodyPr/>
          <a:lstStyle/>
          <a:p>
            <a:pPr>
              <a:defRPr sz="900"/>
            </a:pPr>
            <a:endParaRPr lang="en-US"/>
          </a:p>
        </c:txPr>
        <c:crossAx val="96747520"/>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99206691777492"/>
          <c:y val="8.3756128361313326E-2"/>
          <c:w val="0.67259542643724646"/>
          <c:h val="0.58630485238931906"/>
        </c:manualLayout>
      </c:layout>
      <c:scatterChart>
        <c:scatterStyle val="smoothMarker"/>
        <c:varyColors val="0"/>
        <c:ser>
          <c:idx val="1"/>
          <c:order val="1"/>
          <c:spPr>
            <a:ln>
              <a:solidFill>
                <a:schemeClr val="tx1"/>
              </a:solidFill>
            </a:ln>
          </c:spPr>
          <c:marker>
            <c:symbol val="circle"/>
            <c:size val="5"/>
            <c:spPr>
              <a:solidFill>
                <a:schemeClr val="tx1"/>
              </a:solidFill>
              <a:ln>
                <a:solidFill>
                  <a:schemeClr val="tx1"/>
                </a:solidFill>
              </a:ln>
            </c:spPr>
          </c:marker>
          <c:xVal>
            <c:numRef>
              <c:f>Sheet1!$T$85:$T$95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Sheet1!$U$85:$U$95</c:f>
              <c:numCache>
                <c:formatCode>0.00</c:formatCode>
                <c:ptCount val="11"/>
                <c:pt idx="0">
                  <c:v>40.857142857142854</c:v>
                </c:pt>
                <c:pt idx="1">
                  <c:v>36.428571428571431</c:v>
                </c:pt>
                <c:pt idx="2">
                  <c:v>5.0142857142857142</c:v>
                </c:pt>
                <c:pt idx="3">
                  <c:v>43.428571428571431</c:v>
                </c:pt>
                <c:pt idx="4">
                  <c:v>4.75</c:v>
                </c:pt>
                <c:pt idx="5">
                  <c:v>6.4357142857142859</c:v>
                </c:pt>
                <c:pt idx="6">
                  <c:v>44.05</c:v>
                </c:pt>
                <c:pt idx="7">
                  <c:v>2.7285714285714282</c:v>
                </c:pt>
                <c:pt idx="8">
                  <c:v>7.9285714285714288</c:v>
                </c:pt>
                <c:pt idx="9">
                  <c:v>30.428571428571427</c:v>
                </c:pt>
                <c:pt idx="10">
                  <c:v>0.85714285714285721</c:v>
                </c:pt>
              </c:numCache>
            </c:numRef>
          </c:yVal>
          <c:smooth val="1"/>
          <c:extLst xmlns:c16r2="http://schemas.microsoft.com/office/drawing/2015/06/chart">
            <c:ext xmlns:c16="http://schemas.microsoft.com/office/drawing/2014/chart" uri="{C3380CC4-5D6E-409C-BE32-E72D297353CC}">
              <c16:uniqueId val="{00000000-E265-4E32-8A28-7A4D3D6D7147}"/>
            </c:ext>
          </c:extLst>
        </c:ser>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Sheet1!$T$101:$T$112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Sheet1!$U$101:$U$112</c:f>
              <c:numCache>
                <c:formatCode>0.00</c:formatCode>
                <c:ptCount val="12"/>
                <c:pt idx="0">
                  <c:v>3</c:v>
                </c:pt>
                <c:pt idx="1">
                  <c:v>3.4285714285714288</c:v>
                </c:pt>
                <c:pt idx="2">
                  <c:v>1.5714285714285712</c:v>
                </c:pt>
                <c:pt idx="3">
                  <c:v>0</c:v>
                </c:pt>
                <c:pt idx="4">
                  <c:v>7</c:v>
                </c:pt>
                <c:pt idx="5">
                  <c:v>3</c:v>
                </c:pt>
                <c:pt idx="6">
                  <c:v>5.3571428571428568</c:v>
                </c:pt>
                <c:pt idx="7">
                  <c:v>3.6428571428571423</c:v>
                </c:pt>
                <c:pt idx="8">
                  <c:v>4.0714285714285712</c:v>
                </c:pt>
                <c:pt idx="9">
                  <c:v>3.0714285714285712</c:v>
                </c:pt>
                <c:pt idx="10">
                  <c:v>6.2142857142857135</c:v>
                </c:pt>
                <c:pt idx="11">
                  <c:v>11.585714285714285</c:v>
                </c:pt>
              </c:numCache>
            </c:numRef>
          </c:yVal>
          <c:smooth val="1"/>
          <c:extLst xmlns:c16r2="http://schemas.microsoft.com/office/drawing/2015/06/chart">
            <c:ext xmlns:c16="http://schemas.microsoft.com/office/drawing/2014/chart" uri="{C3380CC4-5D6E-409C-BE32-E72D297353CC}">
              <c16:uniqueId val="{00000001-E265-4E32-8A28-7A4D3D6D7147}"/>
            </c:ext>
          </c:extLst>
        </c:ser>
        <c:dLbls>
          <c:showLegendKey val="0"/>
          <c:showVal val="0"/>
          <c:showCatName val="0"/>
          <c:showSerName val="0"/>
          <c:showPercent val="0"/>
          <c:showBubbleSize val="0"/>
        </c:dLbls>
        <c:axId val="96766976"/>
        <c:axId val="96773248"/>
      </c:scatterChart>
      <c:valAx>
        <c:axId val="96766976"/>
        <c:scaling>
          <c:orientation val="minMax"/>
          <c:max val="2.5"/>
          <c:min val="0"/>
        </c:scaling>
        <c:delete val="0"/>
        <c:axPos val="b"/>
        <c:numFmt formatCode="0.0" sourceLinked="0"/>
        <c:majorTickMark val="out"/>
        <c:minorTickMark val="none"/>
        <c:tickLblPos val="nextTo"/>
        <c:spPr>
          <a:ln>
            <a:solidFill>
              <a:schemeClr val="tx1"/>
            </a:solidFill>
          </a:ln>
        </c:spPr>
        <c:txPr>
          <a:bodyPr/>
          <a:lstStyle/>
          <a:p>
            <a:pPr>
              <a:defRPr sz="900"/>
            </a:pPr>
            <a:endParaRPr lang="en-US"/>
          </a:p>
        </c:txPr>
        <c:crossAx val="96773248"/>
        <c:crosses val="autoZero"/>
        <c:crossBetween val="midCat"/>
      </c:valAx>
      <c:valAx>
        <c:axId val="96773248"/>
        <c:scaling>
          <c:orientation val="minMax"/>
          <c:min val="0"/>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NO</a:t>
                </a:r>
                <a:r>
                  <a:rPr lang="en-US" baseline="-25000">
                    <a:latin typeface="Times New Roman" pitchFamily="18" charset="0"/>
                    <a:cs typeface="Times New Roman" pitchFamily="18" charset="0"/>
                  </a:rPr>
                  <a:t>3</a:t>
                </a:r>
                <a:r>
                  <a:rPr lang="en-US" baseline="30000">
                    <a:latin typeface="Times New Roman" pitchFamily="18" charset="0"/>
                    <a:cs typeface="Times New Roman" pitchFamily="18" charset="0"/>
                  </a:rPr>
                  <a:t>-</a:t>
                </a:r>
                <a:r>
                  <a:rPr lang="en-US" baseline="0">
                    <a:latin typeface="Times New Roman" pitchFamily="18" charset="0"/>
                    <a:cs typeface="Times New Roman" pitchFamily="18" charset="0"/>
                  </a:rPr>
                  <a:t>-N</a:t>
                </a:r>
                <a:r>
                  <a:rPr lang="en-US">
                    <a:latin typeface="Times New Roman" pitchFamily="18" charset="0"/>
                    <a:cs typeface="Times New Roman" pitchFamily="18" charset="0"/>
                  </a:rPr>
                  <a:t> (</a:t>
                </a:r>
                <a:r>
                  <a:rPr lang="en-US" sz="1000" b="1" i="0" u="none" strike="noStrike" baseline="0">
                    <a:effectLst/>
                    <a:latin typeface="Times New Roman" pitchFamily="18" charset="0"/>
                    <a:cs typeface="Times New Roman" pitchFamily="18" charset="0"/>
                  </a:rPr>
                  <a:t>µ</a:t>
                </a:r>
                <a:r>
                  <a:rPr lang="en-US">
                    <a:latin typeface="Times New Roman" pitchFamily="18" charset="0"/>
                    <a:cs typeface="Times New Roman" pitchFamily="18" charset="0"/>
                  </a:rPr>
                  <a:t>M)</a:t>
                </a:r>
              </a:p>
            </c:rich>
          </c:tx>
          <c:layout>
            <c:manualLayout>
              <c:xMode val="edge"/>
              <c:yMode val="edge"/>
              <c:x val="1.9243049164309006E-2"/>
              <c:y val="6.5248937356281789E-2"/>
            </c:manualLayout>
          </c:layout>
          <c:overlay val="0"/>
        </c:title>
        <c:numFmt formatCode="0" sourceLinked="0"/>
        <c:majorTickMark val="out"/>
        <c:minorTickMark val="none"/>
        <c:tickLblPos val="nextTo"/>
        <c:spPr>
          <a:ln>
            <a:solidFill>
              <a:schemeClr val="tx1"/>
            </a:solidFill>
          </a:ln>
        </c:spPr>
        <c:txPr>
          <a:bodyPr/>
          <a:lstStyle/>
          <a:p>
            <a:pPr>
              <a:defRPr sz="900"/>
            </a:pPr>
            <a:endParaRPr lang="en-US"/>
          </a:p>
        </c:txPr>
        <c:crossAx val="96766976"/>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681461053047577"/>
          <c:y val="6.0523632892995817E-2"/>
          <c:w val="0.69816960277673967"/>
          <c:h val="0.60983405999869855"/>
        </c:manualLayout>
      </c:layout>
      <c:scatterChart>
        <c:scatterStyle val="smoothMarker"/>
        <c:varyColors val="0"/>
        <c:ser>
          <c:idx val="1"/>
          <c:order val="1"/>
          <c:spPr>
            <a:ln>
              <a:solidFill>
                <a:schemeClr val="tx1"/>
              </a:solidFill>
            </a:ln>
          </c:spPr>
          <c:marker>
            <c:symbol val="circle"/>
            <c:size val="5"/>
            <c:spPr>
              <a:solidFill>
                <a:schemeClr val="tx1"/>
              </a:solidFill>
              <a:ln>
                <a:solidFill>
                  <a:schemeClr val="tx1"/>
                </a:solidFill>
              </a:ln>
            </c:spPr>
          </c:marker>
          <c:xVal>
            <c:numRef>
              <c:f>Sheet1!$W$85:$W$95</c:f>
              <c:numCache>
                <c:formatCode>0.00</c:formatCode>
                <c:ptCount val="11"/>
                <c:pt idx="0">
                  <c:v>0</c:v>
                </c:pt>
                <c:pt idx="1">
                  <c:v>0.12</c:v>
                </c:pt>
                <c:pt idx="2">
                  <c:v>0.21</c:v>
                </c:pt>
                <c:pt idx="3">
                  <c:v>0.36</c:v>
                </c:pt>
                <c:pt idx="4">
                  <c:v>0.81</c:v>
                </c:pt>
                <c:pt idx="5">
                  <c:v>1.03</c:v>
                </c:pt>
                <c:pt idx="6">
                  <c:v>1.1599999999999999</c:v>
                </c:pt>
                <c:pt idx="7">
                  <c:v>1.53</c:v>
                </c:pt>
                <c:pt idx="8">
                  <c:v>1.77</c:v>
                </c:pt>
                <c:pt idx="9">
                  <c:v>2.16</c:v>
                </c:pt>
                <c:pt idx="10">
                  <c:v>2.2000000000000002</c:v>
                </c:pt>
              </c:numCache>
            </c:numRef>
          </c:xVal>
          <c:yVal>
            <c:numRef>
              <c:f>Sheet1!$X$85:$X$95</c:f>
              <c:numCache>
                <c:formatCode>0.00</c:formatCode>
                <c:ptCount val="11"/>
                <c:pt idx="0">
                  <c:v>0.7142857142857143</c:v>
                </c:pt>
                <c:pt idx="1">
                  <c:v>0.7142857142857143</c:v>
                </c:pt>
                <c:pt idx="2">
                  <c:v>0.78571428571428559</c:v>
                </c:pt>
                <c:pt idx="3">
                  <c:v>0.64285714285714279</c:v>
                </c:pt>
                <c:pt idx="4">
                  <c:v>0.8214285714285714</c:v>
                </c:pt>
                <c:pt idx="5">
                  <c:v>0.85000000000000009</c:v>
                </c:pt>
                <c:pt idx="6">
                  <c:v>0.73571428571428577</c:v>
                </c:pt>
                <c:pt idx="7">
                  <c:v>0.84285714285714286</c:v>
                </c:pt>
                <c:pt idx="8">
                  <c:v>0.85714285714285721</c:v>
                </c:pt>
                <c:pt idx="9">
                  <c:v>0.4285714285714286</c:v>
                </c:pt>
                <c:pt idx="10">
                  <c:v>0.78571428571428559</c:v>
                </c:pt>
              </c:numCache>
            </c:numRef>
          </c:yVal>
          <c:smooth val="1"/>
          <c:extLst xmlns:c16r2="http://schemas.microsoft.com/office/drawing/2015/06/chart">
            <c:ext xmlns:c16="http://schemas.microsoft.com/office/drawing/2014/chart" uri="{C3380CC4-5D6E-409C-BE32-E72D297353CC}">
              <c16:uniqueId val="{00000000-5098-428F-9B36-2999CE708CB9}"/>
            </c:ext>
          </c:extLst>
        </c:ser>
        <c:ser>
          <c:idx val="0"/>
          <c:order val="0"/>
          <c:spPr>
            <a:ln>
              <a:solidFill>
                <a:schemeClr val="bg2">
                  <a:lumMod val="75000"/>
                </a:schemeClr>
              </a:solidFill>
            </a:ln>
          </c:spPr>
          <c:marker>
            <c:symbol val="circle"/>
            <c:size val="5"/>
            <c:spPr>
              <a:solidFill>
                <a:schemeClr val="bg2">
                  <a:lumMod val="75000"/>
                </a:schemeClr>
              </a:solidFill>
              <a:ln>
                <a:solidFill>
                  <a:schemeClr val="bg2">
                    <a:lumMod val="75000"/>
                  </a:schemeClr>
                </a:solidFill>
              </a:ln>
            </c:spPr>
          </c:marker>
          <c:xVal>
            <c:numRef>
              <c:f>Sheet1!$W$101:$W$112</c:f>
              <c:numCache>
                <c:formatCode>0.00</c:formatCode>
                <c:ptCount val="12"/>
                <c:pt idx="0">
                  <c:v>0</c:v>
                </c:pt>
                <c:pt idx="1">
                  <c:v>0.12</c:v>
                </c:pt>
                <c:pt idx="2">
                  <c:v>0.21</c:v>
                </c:pt>
                <c:pt idx="3">
                  <c:v>0.36</c:v>
                </c:pt>
                <c:pt idx="4">
                  <c:v>0.52</c:v>
                </c:pt>
                <c:pt idx="5">
                  <c:v>0.6</c:v>
                </c:pt>
                <c:pt idx="6">
                  <c:v>0.7</c:v>
                </c:pt>
                <c:pt idx="7">
                  <c:v>0.81</c:v>
                </c:pt>
                <c:pt idx="8">
                  <c:v>0.91</c:v>
                </c:pt>
                <c:pt idx="9">
                  <c:v>1.3</c:v>
                </c:pt>
                <c:pt idx="10">
                  <c:v>1.77</c:v>
                </c:pt>
                <c:pt idx="11">
                  <c:v>2.12</c:v>
                </c:pt>
              </c:numCache>
            </c:numRef>
          </c:xVal>
          <c:yVal>
            <c:numRef>
              <c:f>Sheet1!$X$101:$X$112</c:f>
              <c:numCache>
                <c:formatCode>0.00</c:formatCode>
                <c:ptCount val="12"/>
                <c:pt idx="0">
                  <c:v>0.9285714285714286</c:v>
                </c:pt>
                <c:pt idx="1">
                  <c:v>3.2857142857142856</c:v>
                </c:pt>
                <c:pt idx="2">
                  <c:v>4.8571428571428577</c:v>
                </c:pt>
                <c:pt idx="3">
                  <c:v>1</c:v>
                </c:pt>
                <c:pt idx="4">
                  <c:v>0.64285714285714279</c:v>
                </c:pt>
                <c:pt idx="5">
                  <c:v>5.1428571428571423</c:v>
                </c:pt>
                <c:pt idx="6">
                  <c:v>0.7142857142857143</c:v>
                </c:pt>
                <c:pt idx="7">
                  <c:v>0.78571428571428559</c:v>
                </c:pt>
                <c:pt idx="8">
                  <c:v>0.64285714285714279</c:v>
                </c:pt>
                <c:pt idx="9">
                  <c:v>0.78571428571428559</c:v>
                </c:pt>
                <c:pt idx="10">
                  <c:v>0.85714285714285721</c:v>
                </c:pt>
                <c:pt idx="11">
                  <c:v>0.98571428571428577</c:v>
                </c:pt>
              </c:numCache>
            </c:numRef>
          </c:yVal>
          <c:smooth val="1"/>
          <c:extLst xmlns:c16r2="http://schemas.microsoft.com/office/drawing/2015/06/chart">
            <c:ext xmlns:c16="http://schemas.microsoft.com/office/drawing/2014/chart" uri="{C3380CC4-5D6E-409C-BE32-E72D297353CC}">
              <c16:uniqueId val="{00000001-5098-428F-9B36-2999CE708CB9}"/>
            </c:ext>
          </c:extLst>
        </c:ser>
        <c:dLbls>
          <c:showLegendKey val="0"/>
          <c:showVal val="0"/>
          <c:showCatName val="0"/>
          <c:showSerName val="0"/>
          <c:showPercent val="0"/>
          <c:showBubbleSize val="0"/>
        </c:dLbls>
        <c:axId val="96864128"/>
        <c:axId val="96866688"/>
      </c:scatterChart>
      <c:valAx>
        <c:axId val="96864128"/>
        <c:scaling>
          <c:orientation val="minMax"/>
          <c:max val="2.5"/>
          <c:min val="0"/>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Distance from river mouth</a:t>
                </a:r>
                <a:r>
                  <a:rPr lang="en-US" baseline="0">
                    <a:latin typeface="Times New Roman" pitchFamily="18" charset="0"/>
                    <a:cs typeface="Times New Roman" pitchFamily="18" charset="0"/>
                  </a:rPr>
                  <a:t> (km)</a:t>
                </a:r>
                <a:endParaRPr lang="en-US">
                  <a:latin typeface="Times New Roman" pitchFamily="18" charset="0"/>
                  <a:cs typeface="Times New Roman" pitchFamily="18" charset="0"/>
                </a:endParaRPr>
              </a:p>
            </c:rich>
          </c:tx>
          <c:layout>
            <c:manualLayout>
              <c:xMode val="edge"/>
              <c:yMode val="edge"/>
              <c:x val="0.15881069285324603"/>
              <c:y val="0.83960176991150437"/>
            </c:manualLayout>
          </c:layout>
          <c:overlay val="0"/>
        </c:title>
        <c:numFmt formatCode="0.0" sourceLinked="0"/>
        <c:majorTickMark val="out"/>
        <c:minorTickMark val="none"/>
        <c:tickLblPos val="nextTo"/>
        <c:spPr>
          <a:ln>
            <a:solidFill>
              <a:schemeClr val="tx1"/>
            </a:solidFill>
          </a:ln>
        </c:spPr>
        <c:txPr>
          <a:bodyPr/>
          <a:lstStyle/>
          <a:p>
            <a:pPr>
              <a:defRPr sz="900">
                <a:ln>
                  <a:noFill/>
                </a:ln>
              </a:defRPr>
            </a:pPr>
            <a:endParaRPr lang="en-US"/>
          </a:p>
        </c:txPr>
        <c:crossAx val="96866688"/>
        <c:crosses val="autoZero"/>
        <c:crossBetween val="midCat"/>
      </c:valAx>
      <c:valAx>
        <c:axId val="96866688"/>
        <c:scaling>
          <c:orientation val="minMax"/>
        </c:scaling>
        <c:delete val="0"/>
        <c:axPos val="l"/>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NO</a:t>
                </a:r>
                <a:r>
                  <a:rPr lang="en-US" baseline="-25000">
                    <a:latin typeface="Times New Roman" pitchFamily="18" charset="0"/>
                    <a:cs typeface="Times New Roman" pitchFamily="18" charset="0"/>
                  </a:rPr>
                  <a:t>2</a:t>
                </a:r>
                <a:r>
                  <a:rPr lang="en-US" baseline="30000">
                    <a:latin typeface="Times New Roman" pitchFamily="18" charset="0"/>
                    <a:cs typeface="Times New Roman" pitchFamily="18" charset="0"/>
                  </a:rPr>
                  <a:t>-</a:t>
                </a:r>
                <a:r>
                  <a:rPr lang="en-US" baseline="0">
                    <a:latin typeface="Times New Roman" pitchFamily="18" charset="0"/>
                    <a:cs typeface="Times New Roman" pitchFamily="18" charset="0"/>
                  </a:rPr>
                  <a:t>-N (</a:t>
                </a:r>
                <a:r>
                  <a:rPr lang="en-US" sz="1000" b="1" i="0" u="none" strike="noStrike" baseline="0">
                    <a:effectLst/>
                    <a:latin typeface="Times New Roman" pitchFamily="18" charset="0"/>
                    <a:cs typeface="Times New Roman" pitchFamily="18" charset="0"/>
                  </a:rPr>
                  <a:t>µ</a:t>
                </a:r>
                <a:r>
                  <a:rPr lang="en-US" baseline="0">
                    <a:latin typeface="Times New Roman" pitchFamily="18" charset="0"/>
                    <a:cs typeface="Times New Roman" pitchFamily="18" charset="0"/>
                  </a:rPr>
                  <a:t>M)</a:t>
                </a:r>
                <a:endParaRPr lang="en-US">
                  <a:latin typeface="Times New Roman" pitchFamily="18" charset="0"/>
                  <a:cs typeface="Times New Roman" pitchFamily="18" charset="0"/>
                </a:endParaRPr>
              </a:p>
            </c:rich>
          </c:tx>
          <c:layout>
            <c:manualLayout>
              <c:xMode val="edge"/>
              <c:yMode val="edge"/>
              <c:x val="4.0098102491286952E-2"/>
              <c:y val="4.2052818618911567E-2"/>
            </c:manualLayout>
          </c:layout>
          <c:overlay val="0"/>
        </c:title>
        <c:numFmt formatCode="0.0" sourceLinked="0"/>
        <c:majorTickMark val="out"/>
        <c:minorTickMark val="none"/>
        <c:tickLblPos val="nextTo"/>
        <c:spPr>
          <a:ln>
            <a:solidFill>
              <a:schemeClr val="tx1"/>
            </a:solidFill>
          </a:ln>
        </c:spPr>
        <c:txPr>
          <a:bodyPr/>
          <a:lstStyle/>
          <a:p>
            <a:pPr>
              <a:defRPr sz="900"/>
            </a:pPr>
            <a:endParaRPr lang="en-US"/>
          </a:p>
        </c:txPr>
        <c:crossAx val="96864128"/>
        <c:crosses val="autoZero"/>
        <c:crossBetween val="midCat"/>
      </c:valAx>
      <c:spPr>
        <a:ln>
          <a:solidFill>
            <a:schemeClr val="tx1"/>
          </a:solidFill>
        </a:ln>
      </c:spPr>
    </c:plotArea>
    <c:plotVisOnly val="1"/>
    <c:dispBlanksAs val="gap"/>
    <c:showDLblsOverMax val="0"/>
  </c:chart>
  <c:spPr>
    <a:noFill/>
    <a:ln>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0.73312</cdr:x>
      <cdr:y>0.09666</cdr:y>
    </cdr:from>
    <cdr:to>
      <cdr:x>0.88989</cdr:x>
      <cdr:y>0.27313</cdr:y>
    </cdr:to>
    <cdr:sp macro="" textlink="">
      <cdr:nvSpPr>
        <cdr:cNvPr id="2" name="Text Box 1"/>
        <cdr:cNvSpPr txBox="1"/>
      </cdr:nvSpPr>
      <cdr:spPr>
        <a:xfrm xmlns:a="http://schemas.openxmlformats.org/drawingml/2006/main">
          <a:off x="1706642" y="104775"/>
          <a:ext cx="364946" cy="1912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latin typeface="Times New Roman" panose="02020603050405020304" pitchFamily="18" charset="0"/>
              <a:cs typeface="Times New Roman" panose="02020603050405020304"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0.74803</cdr:x>
      <cdr:y>0.06636</cdr:y>
    </cdr:from>
    <cdr:to>
      <cdr:x>0.93539</cdr:x>
      <cdr:y>0.34283</cdr:y>
    </cdr:to>
    <cdr:sp macro="" textlink="">
      <cdr:nvSpPr>
        <cdr:cNvPr id="2" name="Text Box 1"/>
        <cdr:cNvSpPr txBox="1"/>
      </cdr:nvSpPr>
      <cdr:spPr>
        <a:xfrm xmlns:a="http://schemas.openxmlformats.org/drawingml/2006/main">
          <a:off x="1741336" y="77029"/>
          <a:ext cx="436168" cy="3209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000" b="1">
              <a:latin typeface="Times New Roman" panose="02020603050405020304" pitchFamily="18" charset="0"/>
              <a:cs typeface="Times New Roman" panose="02020603050405020304" pitchFamily="18" charset="0"/>
            </a:rPr>
            <a:t>(c)</a:t>
          </a:r>
        </a:p>
      </cdr:txBody>
    </cdr:sp>
  </cdr:relSizeAnchor>
</c:userShapes>
</file>

<file path=word/drawings/drawing3.xml><?xml version="1.0" encoding="utf-8"?>
<c:userShapes xmlns:c="http://schemas.openxmlformats.org/drawingml/2006/chart">
  <cdr:relSizeAnchor xmlns:cdr="http://schemas.openxmlformats.org/drawingml/2006/chartDrawing">
    <cdr:from>
      <cdr:x>0.7413</cdr:x>
      <cdr:y>0.02972</cdr:y>
    </cdr:from>
    <cdr:to>
      <cdr:x>0.92939</cdr:x>
      <cdr:y>0.22807</cdr:y>
    </cdr:to>
    <cdr:sp macro="" textlink="">
      <cdr:nvSpPr>
        <cdr:cNvPr id="2" name="Text Box 1"/>
        <cdr:cNvSpPr txBox="1"/>
      </cdr:nvSpPr>
      <cdr:spPr>
        <a:xfrm xmlns:a="http://schemas.openxmlformats.org/drawingml/2006/main">
          <a:off x="1685677" y="37556"/>
          <a:ext cx="427695" cy="2506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000" b="1">
              <a:latin typeface="Times New Roman" panose="02020603050405020304" pitchFamily="18" charset="0"/>
              <a:cs typeface="Times New Roman" panose="02020603050405020304" pitchFamily="18" charset="0"/>
            </a:rPr>
            <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42BBC-481F-4688-962A-4796A2018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13</Pages>
  <Words>6079</Words>
  <Characters>34652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40650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user</cp:lastModifiedBy>
  <cp:revision>20</cp:revision>
  <cp:lastPrinted>2018-06-19T14:06:00Z</cp:lastPrinted>
  <dcterms:created xsi:type="dcterms:W3CDTF">2018-05-24T11:01:00Z</dcterms:created>
  <dcterms:modified xsi:type="dcterms:W3CDTF">2018-06-19T14:09:00Z</dcterms:modified>
</cp:coreProperties>
</file>