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3.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643C1" w:rsidRPr="00B10D26" w:rsidRDefault="00B643C1" w:rsidP="00B643C1">
      <w:pPr>
        <w:spacing w:after="0" w:line="240" w:lineRule="auto"/>
        <w:jc w:val="center"/>
        <w:outlineLvl w:val="0"/>
        <w:rPr>
          <w:rFonts w:ascii="Times New Roman" w:hAnsi="Times New Roman"/>
          <w:sz w:val="28"/>
          <w:lang w:val="en-GB"/>
        </w:rPr>
      </w:pPr>
      <w:r>
        <w:rPr>
          <w:rFonts w:ascii="Times New Roman" w:hAnsi="Times New Roman"/>
          <w:sz w:val="28"/>
          <w:lang w:val="en-GB"/>
        </w:rPr>
        <w:t xml:space="preserve">A NEW </w:t>
      </w:r>
      <w:r w:rsidRPr="00B10D26">
        <w:rPr>
          <w:rFonts w:ascii="Times New Roman" w:hAnsi="Times New Roman"/>
          <w:sz w:val="28"/>
          <w:lang w:val="en-GB"/>
        </w:rPr>
        <w:t>ULTRA VIOLET-VISIBLE SPECTROPHOTOMETRIC METHOD FOR QUANTITATIVE DETERMINATION OF ACRYLAMIDE</w:t>
      </w:r>
      <w:r>
        <w:rPr>
          <w:rFonts w:ascii="Times New Roman" w:hAnsi="Times New Roman"/>
          <w:sz w:val="28"/>
          <w:lang w:val="en-GB"/>
        </w:rPr>
        <w:t xml:space="preserve"> </w:t>
      </w:r>
      <w:r w:rsidRPr="00B10D26">
        <w:rPr>
          <w:rFonts w:ascii="Times New Roman" w:hAnsi="Times New Roman"/>
          <w:sz w:val="28"/>
          <w:lang w:val="en-GB"/>
        </w:rPr>
        <w:t>VIA HYDROLYSIS PROCESS</w:t>
      </w:r>
    </w:p>
    <w:p w:rsidR="00B643C1" w:rsidRPr="00B10D26" w:rsidRDefault="00B643C1" w:rsidP="00B643C1">
      <w:pPr>
        <w:spacing w:after="0" w:line="240" w:lineRule="auto"/>
        <w:jc w:val="center"/>
        <w:outlineLvl w:val="0"/>
        <w:rPr>
          <w:rFonts w:ascii="Times New Roman" w:hAnsi="Times New Roman"/>
          <w:b/>
          <w:sz w:val="24"/>
          <w:lang w:val="en-GB"/>
        </w:rPr>
      </w:pPr>
    </w:p>
    <w:p w:rsidR="00B643C1" w:rsidRPr="00B643C1" w:rsidRDefault="00B643C1" w:rsidP="00B643C1">
      <w:pPr>
        <w:spacing w:after="0" w:line="240" w:lineRule="auto"/>
        <w:jc w:val="center"/>
        <w:outlineLvl w:val="0"/>
        <w:rPr>
          <w:rFonts w:ascii="Times New Roman" w:hAnsi="Times New Roman"/>
          <w:sz w:val="24"/>
          <w:lang w:val="ms-MY"/>
        </w:rPr>
      </w:pPr>
      <w:r w:rsidRPr="00B10D26">
        <w:rPr>
          <w:rFonts w:ascii="Times New Roman" w:hAnsi="Times New Roman"/>
          <w:sz w:val="24"/>
          <w:lang w:val="en-GB"/>
        </w:rPr>
        <w:t>(</w:t>
      </w:r>
      <w:r>
        <w:rPr>
          <w:rFonts w:ascii="Times New Roman" w:hAnsi="Times New Roman"/>
          <w:sz w:val="24"/>
          <w:lang w:val="ms-MY"/>
        </w:rPr>
        <w:t>Kaedah Spektrofotometrik Ultra Violet</w:t>
      </w:r>
      <w:r w:rsidRPr="00B10D26">
        <w:rPr>
          <w:rFonts w:ascii="Times New Roman" w:hAnsi="Times New Roman"/>
          <w:sz w:val="24"/>
          <w:lang w:val="ms-MY"/>
        </w:rPr>
        <w:t>-</w:t>
      </w:r>
      <w:r>
        <w:rPr>
          <w:rFonts w:ascii="Times New Roman" w:hAnsi="Times New Roman"/>
          <w:sz w:val="24"/>
          <w:lang w:val="ms-MY"/>
        </w:rPr>
        <w:t xml:space="preserve">Cahaya </w:t>
      </w:r>
      <w:r w:rsidRPr="00B10D26">
        <w:rPr>
          <w:rFonts w:ascii="Times New Roman" w:hAnsi="Times New Roman"/>
          <w:sz w:val="24"/>
          <w:lang w:val="ms-MY"/>
        </w:rPr>
        <w:t xml:space="preserve">Nampak Baharu </w:t>
      </w:r>
      <w:r>
        <w:rPr>
          <w:rFonts w:ascii="Times New Roman" w:hAnsi="Times New Roman"/>
          <w:sz w:val="24"/>
          <w:lang w:val="ms-MY"/>
        </w:rPr>
        <w:t>u</w:t>
      </w:r>
      <w:r w:rsidRPr="00B10D26">
        <w:rPr>
          <w:rFonts w:ascii="Times New Roman" w:hAnsi="Times New Roman"/>
          <w:sz w:val="24"/>
          <w:lang w:val="ms-MY"/>
        </w:rPr>
        <w:t>ntuk</w:t>
      </w:r>
      <w:r>
        <w:rPr>
          <w:rFonts w:ascii="Times New Roman" w:hAnsi="Times New Roman"/>
          <w:sz w:val="24"/>
          <w:lang w:val="ms-MY"/>
        </w:rPr>
        <w:t xml:space="preserve"> </w:t>
      </w:r>
      <w:r w:rsidRPr="00B10D26">
        <w:rPr>
          <w:rFonts w:ascii="Times New Roman" w:hAnsi="Times New Roman"/>
          <w:sz w:val="24"/>
          <w:lang w:val="ms-MY"/>
        </w:rPr>
        <w:t>Penentuan Akrilamida Secara Kuantitatif Melalui Proses Hidrolisis</w:t>
      </w:r>
      <w:r w:rsidRPr="00B10D26">
        <w:rPr>
          <w:rFonts w:ascii="Times New Roman" w:hAnsi="Times New Roman"/>
          <w:sz w:val="24"/>
          <w:lang w:val="en-GB"/>
        </w:rPr>
        <w:t>)</w:t>
      </w:r>
    </w:p>
    <w:p w:rsidR="00B643C1" w:rsidRPr="00B643C1" w:rsidRDefault="00B643C1" w:rsidP="00B643C1">
      <w:pPr>
        <w:spacing w:after="0" w:line="240" w:lineRule="auto"/>
        <w:jc w:val="center"/>
        <w:outlineLvl w:val="0"/>
        <w:rPr>
          <w:rFonts w:ascii="Times New Roman" w:hAnsi="Times New Roman"/>
          <w:b/>
          <w:sz w:val="20"/>
          <w:szCs w:val="20"/>
          <w:lang w:val="en-GB"/>
        </w:rPr>
      </w:pPr>
    </w:p>
    <w:p w:rsidR="00B643C1" w:rsidRPr="00B643C1" w:rsidRDefault="00B643C1" w:rsidP="00B643C1">
      <w:pPr>
        <w:spacing w:after="0" w:line="240" w:lineRule="auto"/>
        <w:jc w:val="center"/>
        <w:outlineLvl w:val="0"/>
        <w:rPr>
          <w:rFonts w:ascii="Times New Roman" w:hAnsi="Times New Roman"/>
          <w:sz w:val="20"/>
          <w:szCs w:val="20"/>
          <w:vertAlign w:val="superscript"/>
          <w:lang w:val="en-GB"/>
        </w:rPr>
      </w:pPr>
      <w:r w:rsidRPr="00B643C1">
        <w:rPr>
          <w:rFonts w:ascii="Times New Roman" w:hAnsi="Times New Roman"/>
          <w:sz w:val="20"/>
          <w:szCs w:val="20"/>
          <w:lang w:val="en-GB"/>
        </w:rPr>
        <w:t>Yee-May Chong</w:t>
      </w:r>
      <w:r w:rsidRPr="00B643C1">
        <w:rPr>
          <w:rFonts w:ascii="Times New Roman" w:hAnsi="Times New Roman"/>
          <w:sz w:val="20"/>
          <w:szCs w:val="20"/>
          <w:vertAlign w:val="superscript"/>
          <w:lang w:val="en-GB"/>
        </w:rPr>
        <w:t>1</w:t>
      </w:r>
      <w:r w:rsidRPr="00B643C1">
        <w:rPr>
          <w:rFonts w:ascii="Times New Roman" w:hAnsi="Times New Roman"/>
          <w:sz w:val="20"/>
          <w:szCs w:val="20"/>
          <w:lang w:val="en-GB"/>
        </w:rPr>
        <w:t>, Musa Ahmad</w:t>
      </w:r>
      <w:r w:rsidRPr="00B643C1">
        <w:rPr>
          <w:rFonts w:ascii="Times New Roman" w:hAnsi="Times New Roman"/>
          <w:sz w:val="20"/>
          <w:szCs w:val="20"/>
          <w:vertAlign w:val="superscript"/>
          <w:lang w:val="en-GB"/>
        </w:rPr>
        <w:t>2</w:t>
      </w:r>
      <w:r w:rsidRPr="00B643C1">
        <w:rPr>
          <w:rFonts w:ascii="Times New Roman" w:hAnsi="Times New Roman"/>
          <w:sz w:val="20"/>
          <w:szCs w:val="20"/>
          <w:lang w:val="en-GB"/>
        </w:rPr>
        <w:t>*, Lee Yook Heng</w:t>
      </w:r>
      <w:r w:rsidRPr="00B643C1">
        <w:rPr>
          <w:rFonts w:ascii="Times New Roman" w:hAnsi="Times New Roman"/>
          <w:sz w:val="20"/>
          <w:szCs w:val="20"/>
          <w:vertAlign w:val="superscript"/>
          <w:lang w:val="en-GB"/>
        </w:rPr>
        <w:t>1</w:t>
      </w:r>
    </w:p>
    <w:p w:rsidR="00B643C1" w:rsidRPr="00B10D26" w:rsidRDefault="00B643C1" w:rsidP="00B643C1">
      <w:pPr>
        <w:spacing w:after="0" w:line="240" w:lineRule="auto"/>
        <w:jc w:val="center"/>
        <w:outlineLvl w:val="0"/>
        <w:rPr>
          <w:rFonts w:ascii="Times New Roman" w:hAnsi="Times New Roman"/>
          <w:b/>
          <w:sz w:val="18"/>
          <w:szCs w:val="18"/>
          <w:lang w:val="en-GB"/>
        </w:rPr>
      </w:pPr>
    </w:p>
    <w:p w:rsidR="00B643C1" w:rsidRDefault="00B643C1" w:rsidP="00B643C1">
      <w:pPr>
        <w:spacing w:after="0" w:line="240" w:lineRule="auto"/>
        <w:jc w:val="center"/>
        <w:outlineLvl w:val="0"/>
        <w:rPr>
          <w:rFonts w:ascii="Times New Roman" w:hAnsi="Times New Roman"/>
          <w:i/>
          <w:sz w:val="18"/>
          <w:szCs w:val="18"/>
          <w:lang w:val="en-GB"/>
        </w:rPr>
      </w:pPr>
      <w:r w:rsidRPr="00B10D26">
        <w:rPr>
          <w:rFonts w:ascii="Times New Roman" w:hAnsi="Times New Roman"/>
          <w:i/>
          <w:sz w:val="18"/>
          <w:szCs w:val="18"/>
          <w:vertAlign w:val="superscript"/>
          <w:lang w:val="en-GB"/>
        </w:rPr>
        <w:t>1</w:t>
      </w:r>
      <w:r>
        <w:rPr>
          <w:rFonts w:ascii="Times New Roman" w:hAnsi="Times New Roman"/>
          <w:i/>
          <w:sz w:val="18"/>
          <w:szCs w:val="18"/>
          <w:lang w:val="en-GB"/>
        </w:rPr>
        <w:t>School of Chemical Sciences and</w:t>
      </w:r>
      <w:r w:rsidRPr="00B10D26">
        <w:rPr>
          <w:rFonts w:ascii="Times New Roman" w:hAnsi="Times New Roman"/>
          <w:i/>
          <w:sz w:val="18"/>
          <w:szCs w:val="18"/>
          <w:lang w:val="en-GB"/>
        </w:rPr>
        <w:t xml:space="preserve"> Food Technology, Faculty Sciences &amp; Technology,</w:t>
      </w:r>
    </w:p>
    <w:p w:rsidR="00B643C1" w:rsidRPr="00B10D26" w:rsidRDefault="00B643C1" w:rsidP="00B643C1">
      <w:pPr>
        <w:spacing w:after="0" w:line="240" w:lineRule="auto"/>
        <w:jc w:val="center"/>
        <w:outlineLvl w:val="0"/>
        <w:rPr>
          <w:rFonts w:ascii="Times New Roman" w:hAnsi="Times New Roman"/>
          <w:i/>
          <w:sz w:val="18"/>
          <w:szCs w:val="18"/>
          <w:lang w:val="en-GB"/>
        </w:rPr>
      </w:pPr>
      <w:r w:rsidRPr="00B10D26">
        <w:rPr>
          <w:rFonts w:ascii="Times New Roman" w:hAnsi="Times New Roman"/>
          <w:i/>
          <w:sz w:val="18"/>
          <w:szCs w:val="18"/>
          <w:lang w:val="en-GB"/>
        </w:rPr>
        <w:t xml:space="preserve">Universiti Kebangsaan Malaysia, 43600 </w:t>
      </w:r>
      <w:r>
        <w:rPr>
          <w:rFonts w:ascii="Times New Roman" w:hAnsi="Times New Roman"/>
          <w:i/>
          <w:sz w:val="18"/>
          <w:szCs w:val="18"/>
          <w:lang w:val="en-GB"/>
        </w:rPr>
        <w:t xml:space="preserve">UKM </w:t>
      </w:r>
      <w:r w:rsidRPr="00B10D26">
        <w:rPr>
          <w:rFonts w:ascii="Times New Roman" w:hAnsi="Times New Roman"/>
          <w:i/>
          <w:sz w:val="18"/>
          <w:szCs w:val="18"/>
          <w:lang w:val="en-GB"/>
        </w:rPr>
        <w:t>Bangi, Malaysia</w:t>
      </w:r>
    </w:p>
    <w:p w:rsidR="00B643C1" w:rsidRDefault="00B643C1" w:rsidP="00B643C1">
      <w:pPr>
        <w:spacing w:after="0" w:line="240" w:lineRule="auto"/>
        <w:jc w:val="center"/>
        <w:outlineLvl w:val="0"/>
        <w:rPr>
          <w:rFonts w:ascii="Times New Roman" w:hAnsi="Times New Roman"/>
          <w:i/>
          <w:sz w:val="18"/>
          <w:szCs w:val="18"/>
          <w:lang w:val="en-GB"/>
        </w:rPr>
      </w:pPr>
      <w:r w:rsidRPr="00B10D26">
        <w:rPr>
          <w:rFonts w:ascii="Times New Roman" w:hAnsi="Times New Roman"/>
          <w:i/>
          <w:sz w:val="18"/>
          <w:szCs w:val="18"/>
          <w:vertAlign w:val="superscript"/>
          <w:lang w:val="en-GB"/>
        </w:rPr>
        <w:t>2</w:t>
      </w:r>
      <w:r w:rsidRPr="00B10D26">
        <w:rPr>
          <w:rFonts w:ascii="Times New Roman" w:hAnsi="Times New Roman"/>
          <w:i/>
          <w:sz w:val="18"/>
          <w:szCs w:val="18"/>
          <w:lang w:val="en-GB"/>
        </w:rPr>
        <w:t>Industrial Chemical Technology Programme, Faculty Sciences &amp; Technology,</w:t>
      </w:r>
    </w:p>
    <w:p w:rsidR="00B643C1" w:rsidRPr="00B10D26" w:rsidRDefault="00B643C1" w:rsidP="00B643C1">
      <w:pPr>
        <w:spacing w:after="0" w:line="240" w:lineRule="auto"/>
        <w:jc w:val="center"/>
        <w:outlineLvl w:val="0"/>
        <w:rPr>
          <w:rFonts w:ascii="Times New Roman" w:hAnsi="Times New Roman"/>
          <w:i/>
          <w:sz w:val="18"/>
          <w:szCs w:val="18"/>
          <w:lang w:val="en-GB"/>
        </w:rPr>
      </w:pPr>
      <w:r w:rsidRPr="00B10D26">
        <w:rPr>
          <w:rFonts w:ascii="Times New Roman" w:hAnsi="Times New Roman"/>
          <w:i/>
          <w:sz w:val="18"/>
          <w:szCs w:val="18"/>
          <w:lang w:val="en-GB"/>
        </w:rPr>
        <w:t>Universiti Sains Islam Malaysia, 71800 Nilai, Malaysia</w:t>
      </w:r>
    </w:p>
    <w:p w:rsidR="00B643C1" w:rsidRPr="00B10D26" w:rsidRDefault="00B643C1" w:rsidP="00B643C1">
      <w:pPr>
        <w:spacing w:after="0" w:line="240" w:lineRule="auto"/>
        <w:jc w:val="center"/>
        <w:outlineLvl w:val="0"/>
        <w:rPr>
          <w:rFonts w:ascii="Times New Roman" w:hAnsi="Times New Roman"/>
          <w:b/>
          <w:sz w:val="18"/>
          <w:szCs w:val="18"/>
          <w:lang w:val="en-GB"/>
        </w:rPr>
      </w:pPr>
    </w:p>
    <w:p w:rsidR="00B643C1" w:rsidRPr="00B10D26" w:rsidRDefault="00B643C1" w:rsidP="00B643C1">
      <w:pPr>
        <w:spacing w:after="0" w:line="240" w:lineRule="auto"/>
        <w:jc w:val="center"/>
        <w:outlineLvl w:val="0"/>
        <w:rPr>
          <w:rFonts w:ascii="Times New Roman" w:hAnsi="Times New Roman"/>
          <w:i/>
          <w:sz w:val="18"/>
          <w:lang w:val="en-GB"/>
        </w:rPr>
      </w:pPr>
      <w:r w:rsidRPr="00B643C1">
        <w:rPr>
          <w:rFonts w:ascii="Times New Roman" w:hAnsi="Times New Roman"/>
          <w:i/>
          <w:sz w:val="18"/>
          <w:lang w:val="en-GB"/>
        </w:rPr>
        <w:t>*</w:t>
      </w:r>
      <w:r w:rsidRPr="00B10D26">
        <w:rPr>
          <w:rFonts w:ascii="Times New Roman" w:hAnsi="Times New Roman"/>
          <w:i/>
          <w:sz w:val="18"/>
          <w:lang w:val="en-GB"/>
        </w:rPr>
        <w:t xml:space="preserve">Corresponding author: </w:t>
      </w:r>
      <w:r>
        <w:rPr>
          <w:rFonts w:ascii="Times New Roman" w:hAnsi="Times New Roman"/>
          <w:i/>
          <w:sz w:val="18"/>
          <w:lang w:val="en-GB"/>
        </w:rPr>
        <w:t xml:space="preserve"> </w:t>
      </w:r>
      <w:r w:rsidRPr="00B10D26">
        <w:rPr>
          <w:rFonts w:ascii="Times New Roman" w:hAnsi="Times New Roman"/>
          <w:i/>
          <w:sz w:val="18"/>
          <w:lang w:val="en-GB"/>
        </w:rPr>
        <w:t>andong@usim.edu.my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643C1">
        <w:rPr>
          <w:rFonts w:ascii="Times New Roman" w:hAnsi="Times New Roman"/>
          <w:noProof/>
          <w:sz w:val="18"/>
          <w:szCs w:val="18"/>
          <w:lang w:bidi="ar-SA"/>
        </w:rPr>
        <w:t>5 August 2018</w:t>
      </w:r>
      <w:r>
        <w:rPr>
          <w:rFonts w:ascii="Times New Roman" w:hAnsi="Times New Roman"/>
          <w:noProof/>
          <w:sz w:val="18"/>
          <w:szCs w:val="18"/>
          <w:lang w:bidi="ar-SA"/>
        </w:rPr>
        <w:t xml:space="preserve">; Accepted: </w:t>
      </w:r>
      <w:r w:rsidR="00B643C1">
        <w:rPr>
          <w:rFonts w:ascii="Times New Roman" w:hAnsi="Times New Roman"/>
          <w:noProof/>
          <w:sz w:val="18"/>
          <w:szCs w:val="18"/>
          <w:lang w:bidi="ar-SA"/>
        </w:rPr>
        <w:t>8 December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643C1" w:rsidRPr="00B10D26" w:rsidRDefault="00B643C1" w:rsidP="00B643C1">
      <w:pPr>
        <w:spacing w:after="0" w:line="240" w:lineRule="auto"/>
        <w:jc w:val="both"/>
        <w:outlineLvl w:val="0"/>
        <w:rPr>
          <w:rFonts w:ascii="Times New Roman" w:hAnsi="Times New Roman"/>
          <w:sz w:val="18"/>
          <w:szCs w:val="18"/>
          <w:lang w:val="en-GB"/>
        </w:rPr>
      </w:pPr>
      <w:r w:rsidRPr="00B10D26">
        <w:rPr>
          <w:rFonts w:ascii="Times New Roman" w:hAnsi="Times New Roman"/>
          <w:sz w:val="18"/>
          <w:szCs w:val="18"/>
          <w:lang w:val="en-GB"/>
        </w:rPr>
        <w:t>This paper reported the results for quantitative determination of acrylamide via hydrolysis process using ultra violet-visible (UV-Vis) spectrophotometric method. This quantitative determination started with hydrolysing acrylamide in a strong basic condition to yield ammonia and acid salt. The optimum conditions of hydrolysis (concentration of the base used and time for hydrolysis) were also determined. From this study, the optimum conditions to hydrolyse acrylamide were achieved using 6.0 M of sodium hydroxide (NaOH) for 10 minutes. The hydrolysis process was characterised by monitoring the ammonia produced using Nessler’s reagent through the formation of yellow colouration in the presence of ammonia. After the optimisation of hydrolysis process, the characterisation of all parameters including concentration of Nessler’s reagent used, reproducibility, dynamic range, and interference ions were studied. Linear dynamic ranges from 0-10 ppm acrylamide with limit of detection (LOD) of 0.074 ppm were obtained when 3.0 mM Nessler’s reagent was used. The relative standard deviations (RSD) for reproducibility were 2.8-3.3%. No significant interference from cations such as Na</w:t>
      </w:r>
      <w:r w:rsidRPr="00B10D26">
        <w:rPr>
          <w:rFonts w:ascii="Times New Roman" w:hAnsi="Times New Roman"/>
          <w:sz w:val="18"/>
          <w:szCs w:val="18"/>
          <w:vertAlign w:val="superscript"/>
          <w:lang w:val="en-GB"/>
        </w:rPr>
        <w:t>+</w:t>
      </w:r>
      <w:r w:rsidRPr="00B10D26">
        <w:rPr>
          <w:rFonts w:ascii="Times New Roman" w:hAnsi="Times New Roman"/>
          <w:sz w:val="18"/>
          <w:szCs w:val="18"/>
          <w:lang w:val="en-GB"/>
        </w:rPr>
        <w:t>, K</w:t>
      </w:r>
      <w:r w:rsidRPr="00B10D26">
        <w:rPr>
          <w:rFonts w:ascii="Times New Roman" w:hAnsi="Times New Roman"/>
          <w:sz w:val="18"/>
          <w:szCs w:val="18"/>
          <w:vertAlign w:val="superscript"/>
          <w:lang w:val="en-GB"/>
        </w:rPr>
        <w:t>+</w:t>
      </w:r>
      <w:r w:rsidRPr="00B10D26">
        <w:rPr>
          <w:rFonts w:ascii="Times New Roman" w:hAnsi="Times New Roman"/>
          <w:sz w:val="18"/>
          <w:szCs w:val="18"/>
          <w:lang w:val="en-GB"/>
        </w:rPr>
        <w:t>, Ca</w:t>
      </w:r>
      <w:r w:rsidRPr="00B10D26">
        <w:rPr>
          <w:rFonts w:ascii="Times New Roman" w:hAnsi="Times New Roman"/>
          <w:sz w:val="18"/>
          <w:szCs w:val="18"/>
          <w:vertAlign w:val="superscript"/>
          <w:lang w:val="en-GB"/>
        </w:rPr>
        <w:t>2+</w:t>
      </w:r>
      <w:r w:rsidRPr="00B10D26">
        <w:rPr>
          <w:rFonts w:ascii="Times New Roman" w:hAnsi="Times New Roman"/>
          <w:sz w:val="18"/>
          <w:szCs w:val="18"/>
          <w:lang w:val="en-GB"/>
        </w:rPr>
        <w:t xml:space="preserve"> during quantitative analysis of acrylamide, but ions such as Fe</w:t>
      </w:r>
      <w:r w:rsidRPr="00B10D26">
        <w:rPr>
          <w:rFonts w:ascii="Times New Roman" w:hAnsi="Times New Roman"/>
          <w:sz w:val="18"/>
          <w:szCs w:val="18"/>
          <w:vertAlign w:val="superscript"/>
          <w:lang w:val="en-GB"/>
        </w:rPr>
        <w:t>3+</w:t>
      </w:r>
      <w:r w:rsidRPr="00B10D26">
        <w:rPr>
          <w:rFonts w:ascii="Times New Roman" w:hAnsi="Times New Roman"/>
          <w:sz w:val="18"/>
          <w:szCs w:val="18"/>
          <w:lang w:val="en-GB"/>
        </w:rPr>
        <w:t xml:space="preserve"> and NH</w:t>
      </w:r>
      <w:r w:rsidRPr="00B10D26">
        <w:rPr>
          <w:rFonts w:ascii="Times New Roman" w:hAnsi="Times New Roman"/>
          <w:sz w:val="18"/>
          <w:szCs w:val="18"/>
          <w:vertAlign w:val="subscript"/>
          <w:lang w:val="en-GB"/>
        </w:rPr>
        <w:t>3</w:t>
      </w:r>
      <w:r w:rsidRPr="00B10D26">
        <w:rPr>
          <w:rFonts w:ascii="Times New Roman" w:hAnsi="Times New Roman"/>
          <w:sz w:val="18"/>
          <w:szCs w:val="18"/>
          <w:lang w:val="en-GB"/>
        </w:rPr>
        <w:t xml:space="preserve"> affected the analysis. </w:t>
      </w:r>
    </w:p>
    <w:p w:rsidR="00B643C1" w:rsidRPr="00B10D26" w:rsidRDefault="00B643C1" w:rsidP="00B643C1">
      <w:pPr>
        <w:spacing w:after="0" w:line="240" w:lineRule="auto"/>
        <w:jc w:val="both"/>
        <w:outlineLvl w:val="0"/>
        <w:rPr>
          <w:rFonts w:ascii="Times New Roman" w:hAnsi="Times New Roman"/>
          <w:sz w:val="18"/>
          <w:szCs w:val="18"/>
          <w:lang w:val="en-GB"/>
        </w:rPr>
      </w:pPr>
    </w:p>
    <w:p w:rsidR="00B643C1" w:rsidRPr="00B10D26" w:rsidRDefault="00B643C1" w:rsidP="00B643C1">
      <w:pPr>
        <w:spacing w:after="0" w:line="240" w:lineRule="auto"/>
        <w:jc w:val="both"/>
        <w:outlineLvl w:val="0"/>
        <w:rPr>
          <w:rFonts w:ascii="Times New Roman" w:hAnsi="Times New Roman"/>
          <w:lang w:val="en-GB"/>
        </w:rPr>
      </w:pPr>
      <w:r w:rsidRPr="00B10D26">
        <w:rPr>
          <w:rFonts w:ascii="Times New Roman" w:hAnsi="Times New Roman"/>
          <w:b/>
          <w:sz w:val="18"/>
          <w:szCs w:val="18"/>
          <w:lang w:val="en-GB"/>
        </w:rPr>
        <w:t xml:space="preserve">Keywords: </w:t>
      </w:r>
      <w:r>
        <w:rPr>
          <w:rFonts w:ascii="Times New Roman" w:hAnsi="Times New Roman"/>
          <w:b/>
          <w:sz w:val="18"/>
          <w:szCs w:val="18"/>
          <w:lang w:val="en-GB"/>
        </w:rPr>
        <w:t xml:space="preserve"> </w:t>
      </w:r>
      <w:r w:rsidRPr="00B10D26">
        <w:rPr>
          <w:rFonts w:ascii="Times New Roman" w:hAnsi="Times New Roman"/>
          <w:sz w:val="18"/>
          <w:szCs w:val="18"/>
          <w:lang w:val="en-GB"/>
        </w:rPr>
        <w:t>acrylamide, hydrolysis, Nessler’s reagent</w:t>
      </w:r>
      <w:r w:rsidRPr="00B10D26">
        <w:rPr>
          <w:rFonts w:ascii="Times New Roman" w:hAnsi="Times New Roman"/>
          <w:lang w:val="en-GB"/>
        </w:rPr>
        <w:t xml:space="preserve"> </w:t>
      </w:r>
    </w:p>
    <w:p w:rsidR="00B643C1" w:rsidRPr="00B10D26" w:rsidRDefault="00B643C1" w:rsidP="00B643C1">
      <w:pPr>
        <w:spacing w:after="0" w:line="240" w:lineRule="auto"/>
        <w:jc w:val="center"/>
        <w:outlineLvl w:val="0"/>
        <w:rPr>
          <w:rFonts w:ascii="Times New Roman" w:hAnsi="Times New Roman"/>
          <w:b/>
          <w:sz w:val="18"/>
          <w:szCs w:val="18"/>
          <w:lang w:val="en-GB"/>
        </w:rPr>
      </w:pPr>
    </w:p>
    <w:p w:rsidR="00B643C1" w:rsidRPr="00B10D26" w:rsidRDefault="00B643C1" w:rsidP="00B643C1">
      <w:pPr>
        <w:spacing w:after="0" w:line="240" w:lineRule="auto"/>
        <w:jc w:val="center"/>
        <w:outlineLvl w:val="0"/>
        <w:rPr>
          <w:rFonts w:ascii="Times New Roman" w:hAnsi="Times New Roman"/>
          <w:b/>
          <w:sz w:val="18"/>
          <w:szCs w:val="18"/>
          <w:lang w:val="ms-MY"/>
        </w:rPr>
      </w:pPr>
      <w:r w:rsidRPr="00B10D26">
        <w:rPr>
          <w:rFonts w:ascii="Times New Roman" w:hAnsi="Times New Roman"/>
          <w:b/>
          <w:sz w:val="18"/>
          <w:szCs w:val="18"/>
          <w:lang w:val="ms-MY"/>
        </w:rPr>
        <w:t>Abstrak</w:t>
      </w:r>
    </w:p>
    <w:p w:rsidR="00B643C1" w:rsidRPr="00B10D26" w:rsidRDefault="00B643C1" w:rsidP="00B643C1">
      <w:pPr>
        <w:spacing w:after="0" w:line="240" w:lineRule="auto"/>
        <w:jc w:val="both"/>
        <w:outlineLvl w:val="0"/>
        <w:rPr>
          <w:rFonts w:ascii="Times New Roman" w:hAnsi="Times New Roman"/>
          <w:sz w:val="18"/>
          <w:szCs w:val="18"/>
          <w:lang w:val="ms-MY"/>
        </w:rPr>
      </w:pPr>
      <w:r w:rsidRPr="00B10D26">
        <w:rPr>
          <w:rFonts w:ascii="Times New Roman" w:hAnsi="Times New Roman"/>
          <w:sz w:val="18"/>
          <w:szCs w:val="18"/>
          <w:lang w:val="ms-MY"/>
        </w:rPr>
        <w:t>Kajian ini melaporkan keputusan untuk penentuan kuantitatif akrilamida melalui proses hidrolisis dengan kaedah spektofotometrik UV-Nampak (UV-Vis). Penentuan kuantitatif ini dimulai dengan hidrolisis akrilamida dalam keadaan bes kuat dan menghasilkan ammonia dan garam asid sebagai hasil. Keadaan optimum hidrolisis seperti kepekatan bes yang digunakan serta masa hidrolisis optimum telah ditentukan. Daripada kajian, keadaan hidrolisis akrilamida yang optimum ialah menggunakan natrium hidroksida (NaOH) 6.0 M dan masa tindak balas selama 10 minit. Proses hidrolisis telah dicirikan dengan memantau ammonia yang terhasil menggunakan reagen Nessler yang akan menghasilkan warna kuning dengan kehadiran am</w:t>
      </w:r>
      <w:r>
        <w:rPr>
          <w:rFonts w:ascii="Times New Roman" w:hAnsi="Times New Roman"/>
          <w:sz w:val="18"/>
          <w:szCs w:val="18"/>
          <w:lang w:val="ms-MY"/>
        </w:rPr>
        <w:t>m</w:t>
      </w:r>
      <w:r w:rsidRPr="00B10D26">
        <w:rPr>
          <w:rFonts w:ascii="Times New Roman" w:hAnsi="Times New Roman"/>
          <w:sz w:val="18"/>
          <w:szCs w:val="18"/>
          <w:lang w:val="ms-MY"/>
        </w:rPr>
        <w:t>onia. Setelah mengoptimumkan proses hidrolisis, pencirian semua parameter termasuk kepekatan reagen Nessler yang digunakan, kebolehulangan, julat dinamik, dan ganguan ion telah dikaji. Julat dinamik linear daripada 0-10 ppm akrilamida dengan had pengesanan (LOD) 0.074 ppm telah diperolehi apabila reagen Nessler 3.0 mM digunakan. Sisihan piawai relatif (RSD) untuk kebolehulangan telah diperolehi pada julat 2.8-3.3%. Kation seperti Na</w:t>
      </w:r>
      <w:r w:rsidRPr="00B10D26">
        <w:rPr>
          <w:rFonts w:ascii="Times New Roman" w:hAnsi="Times New Roman"/>
          <w:sz w:val="18"/>
          <w:szCs w:val="18"/>
          <w:vertAlign w:val="superscript"/>
          <w:lang w:val="ms-MY"/>
        </w:rPr>
        <w:t>+</w:t>
      </w:r>
      <w:r w:rsidRPr="00B10D26">
        <w:rPr>
          <w:rFonts w:ascii="Times New Roman" w:hAnsi="Times New Roman"/>
          <w:sz w:val="18"/>
          <w:szCs w:val="18"/>
          <w:lang w:val="ms-MY"/>
        </w:rPr>
        <w:t>, K</w:t>
      </w:r>
      <w:r w:rsidRPr="00B10D26">
        <w:rPr>
          <w:rFonts w:ascii="Times New Roman" w:hAnsi="Times New Roman"/>
          <w:sz w:val="18"/>
          <w:szCs w:val="18"/>
          <w:vertAlign w:val="superscript"/>
          <w:lang w:val="ms-MY"/>
        </w:rPr>
        <w:t>+</w:t>
      </w:r>
      <w:r w:rsidRPr="00B10D26">
        <w:rPr>
          <w:rFonts w:ascii="Times New Roman" w:hAnsi="Times New Roman"/>
          <w:sz w:val="18"/>
          <w:szCs w:val="18"/>
          <w:lang w:val="ms-MY"/>
        </w:rPr>
        <w:t>, Ca</w:t>
      </w:r>
      <w:r w:rsidRPr="00B10D26">
        <w:rPr>
          <w:rFonts w:ascii="Times New Roman" w:hAnsi="Times New Roman"/>
          <w:sz w:val="18"/>
          <w:szCs w:val="18"/>
          <w:vertAlign w:val="superscript"/>
          <w:lang w:val="ms-MY"/>
        </w:rPr>
        <w:t>2+</w:t>
      </w:r>
      <w:r w:rsidRPr="00B10D26">
        <w:rPr>
          <w:rFonts w:ascii="Times New Roman" w:hAnsi="Times New Roman"/>
          <w:sz w:val="18"/>
          <w:szCs w:val="18"/>
          <w:lang w:val="ms-MY"/>
        </w:rPr>
        <w:t xml:space="preserve"> tidak memberikan gangguan yang ketara pada analisis kuantitatif akrilamida, tetapi ion seperti Fe</w:t>
      </w:r>
      <w:r w:rsidRPr="00B10D26">
        <w:rPr>
          <w:rFonts w:ascii="Times New Roman" w:hAnsi="Times New Roman"/>
          <w:sz w:val="18"/>
          <w:szCs w:val="18"/>
          <w:vertAlign w:val="superscript"/>
          <w:lang w:val="ms-MY"/>
        </w:rPr>
        <w:t>3+</w:t>
      </w:r>
      <w:r w:rsidRPr="00B10D26">
        <w:rPr>
          <w:rFonts w:ascii="Times New Roman" w:hAnsi="Times New Roman"/>
          <w:sz w:val="18"/>
          <w:szCs w:val="18"/>
          <w:lang w:val="ms-MY"/>
        </w:rPr>
        <w:t xml:space="preserve"> and NH</w:t>
      </w:r>
      <w:r w:rsidRPr="00B10D26">
        <w:rPr>
          <w:rFonts w:ascii="Times New Roman" w:hAnsi="Times New Roman"/>
          <w:sz w:val="18"/>
          <w:szCs w:val="18"/>
          <w:vertAlign w:val="subscript"/>
          <w:lang w:val="ms-MY"/>
        </w:rPr>
        <w:t>3</w:t>
      </w:r>
      <w:r w:rsidRPr="00B10D26">
        <w:rPr>
          <w:rFonts w:ascii="Times New Roman" w:hAnsi="Times New Roman"/>
          <w:sz w:val="18"/>
          <w:szCs w:val="18"/>
          <w:lang w:val="ms-MY"/>
        </w:rPr>
        <w:t xml:space="preserve"> telah mengganggu analisis ini.</w:t>
      </w:r>
    </w:p>
    <w:p w:rsidR="00B643C1" w:rsidRPr="00B10D26" w:rsidRDefault="00B643C1" w:rsidP="00B643C1">
      <w:pPr>
        <w:spacing w:after="0" w:line="240" w:lineRule="auto"/>
        <w:jc w:val="both"/>
        <w:outlineLvl w:val="0"/>
        <w:rPr>
          <w:rFonts w:ascii="Times New Roman" w:hAnsi="Times New Roman"/>
          <w:sz w:val="18"/>
          <w:szCs w:val="18"/>
          <w:lang w:val="ms-MY"/>
        </w:rPr>
      </w:pPr>
    </w:p>
    <w:p w:rsidR="006768E9" w:rsidRPr="00B643C1" w:rsidRDefault="00B643C1" w:rsidP="00B643C1">
      <w:pPr>
        <w:spacing w:after="0" w:line="240" w:lineRule="auto"/>
        <w:jc w:val="both"/>
        <w:outlineLvl w:val="0"/>
        <w:rPr>
          <w:rFonts w:ascii="Times New Roman" w:hAnsi="Times New Roman"/>
          <w:b/>
          <w:strike/>
          <w:szCs w:val="20"/>
          <w:lang w:val="ms-MY"/>
        </w:rPr>
      </w:pPr>
      <w:r w:rsidRPr="00B10D26">
        <w:rPr>
          <w:rFonts w:ascii="Times New Roman" w:hAnsi="Times New Roman"/>
          <w:b/>
          <w:sz w:val="18"/>
          <w:szCs w:val="18"/>
          <w:lang w:val="ms-MY"/>
        </w:rPr>
        <w:t>Kata kunci:</w:t>
      </w:r>
      <w:r w:rsidRPr="00B10D26">
        <w:rPr>
          <w:rFonts w:ascii="Times New Roman" w:hAnsi="Times New Roman"/>
          <w:sz w:val="18"/>
          <w:szCs w:val="18"/>
          <w:lang w:val="ms-MY"/>
        </w:rPr>
        <w:t xml:space="preserve"> </w:t>
      </w:r>
      <w:r>
        <w:rPr>
          <w:rFonts w:ascii="Times New Roman" w:hAnsi="Times New Roman"/>
          <w:sz w:val="18"/>
          <w:szCs w:val="18"/>
          <w:lang w:val="ms-MY"/>
        </w:rPr>
        <w:t xml:space="preserve"> </w:t>
      </w:r>
      <w:r w:rsidRPr="00B10D26">
        <w:rPr>
          <w:rFonts w:ascii="Times New Roman" w:hAnsi="Times New Roman"/>
          <w:sz w:val="18"/>
          <w:szCs w:val="18"/>
          <w:lang w:val="ms-MY"/>
        </w:rPr>
        <w:t>akrilamida, hidrolisis, reagen Nessler</w:t>
      </w:r>
      <w:r w:rsidRPr="00B10D26">
        <w:rPr>
          <w:rFonts w:ascii="Times New Roman" w:hAnsi="Times New Roman"/>
          <w:b/>
          <w:lang w:val="ms-MY"/>
        </w:rPr>
        <w:t xml:space="preserve"> </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In 2002, high levels of acrylamide were detected in heat-treated potato products and other baked products as reported by Swedish National Food Authority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&lt;EndNote&gt;&lt;Cite&gt;&lt;Author&gt;Tareke&lt;/Author&gt;&lt;Year&gt;2002&lt;/Year&gt;&lt;RecNum&gt;44&lt;/RecNum&gt;&lt;DisplayText&gt;&lt;style font="Times New Roman" size="10"&gt;[1]&lt;/style&gt;&lt;/DisplayText&gt;&lt;record&gt;&lt;rec-number&gt;44&lt;/rec-number&gt;&lt;foreign-keys&gt;&lt;key app="EN" db-id="p5r5zvptkaxx5sex0dm5szph99d2frr25vss"&gt;44&lt;/key&gt;&lt;/foreign-keys&gt;&lt;ref-type name="Journal Article"&gt;17&lt;/ref-type&gt;&lt;contributors&gt;&lt;authors&gt;&lt;author&gt;Tareke, Eden&lt;/author&gt;&lt;author&gt;Rydberg, Per&lt;/author&gt;&lt;author&gt;Karlsson, Patrik&lt;/author&gt;&lt;author&gt;Eriksson, Sune&lt;/author&gt;&lt;author&gt;Törnqvist, Margareta&lt;/author&gt;&lt;/authors&gt;&lt;/contributors&gt;&lt;titles&gt;&lt;title&gt;Analysis of acrylamide, a carcinogen formed in heated foodstuffs&lt;/title&gt;&lt;secondary-title&gt;Journal of Agricultural and Food Chemistry&lt;/secondary-title&gt;&lt;/titles&gt;&lt;periodical&gt;&lt;full-title&gt;Journal of Agricultural and Food Chemistry&lt;/full-title&gt;&lt;abbr-1&gt;J. Agric. Food Chem.&lt;/abbr-1&gt;&lt;abbr-2&gt;J Agric Food Chem&lt;/abbr-2&gt;&lt;/periodical&gt;&lt;pages&gt;4998-5006&lt;/pages&gt;&lt;volume&gt;50&lt;/volume&gt;&lt;number&gt;17&lt;/number&gt;&lt;dates&gt;&lt;year&gt;2002&lt;/year&gt;&lt;pub-dates&gt;&lt;date&gt;2002/08/01&lt;/date&gt;&lt;/pub-dates&gt;&lt;/dates&gt;&lt;publisher&gt;American Chemical Society&lt;/publisher&gt;&lt;isbn&gt;0021-8561&lt;/isbn&gt;&lt;urls&gt;&lt;related-urls&gt;&lt;url&gt;http://dx.doi.org/10.1021/jf020302f&lt;/url&gt;&lt;/related-urls&gt;&lt;/urls&gt;&lt;electronic-resource-num&gt;10.1021/jf020302f&lt;/electronic-resource-num&gt;&lt;access-date&gt;2012/12/08&lt;/access-date&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1" w:tooltip="Tareke, 2002 #44" w:history="1">
        <w:r w:rsidRPr="00B643C1">
          <w:rPr>
            <w:rFonts w:ascii="Times New Roman" w:hAnsi="Times New Roman"/>
            <w:noProof/>
            <w:sz w:val="20"/>
            <w:szCs w:val="20"/>
            <w:lang w:val="en-GB"/>
          </w:rPr>
          <w:t>1</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Formation of acrylamide in food occurs via reaction between reducing sugar such as glucose and amino acid asparagine at high temperature, known as Maillard reaction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&lt;EndNote&gt;&lt;Cite&gt;&lt;Author&gt;Zyzak&lt;/Author&gt;&lt;Year&gt;2003&lt;/Year&gt;&lt;RecNum&gt;48&lt;/RecNum&gt;&lt;DisplayText&gt;&lt;style font="Times New Roman" size="10"&gt;[2]&lt;/style&gt;&lt;/DisplayText&gt;&lt;record&gt;&lt;rec-number&gt;48&lt;/rec-number&gt;&lt;foreign-keys&gt;&lt;key app="EN" db-id="p5r5zvptkaxx5sex0dm5szph99d2frr25vss"&gt;48&lt;/key&gt;&lt;/foreign-keys&gt;&lt;ref-type name="Journal Article"&gt;17&lt;/ref-type&gt;&lt;contributors&gt;&lt;authors&gt;&lt;author&gt;Zyzak, David V.&lt;/author&gt;&lt;author&gt;Sanders, Robert A.&lt;/author&gt;&lt;author&gt;Stojanovic, Marko&lt;/author&gt;&lt;author&gt;Tallmadge, Daniel H.&lt;/author&gt;&lt;author&gt;Eberhart, B. Loye&lt;/author&gt;&lt;author&gt;Ewald, Deborah K.&lt;/author&gt;&lt;author&gt;Gruber, David C.&lt;/author&gt;&lt;author&gt;Morsch, Thomas R.&lt;/author&gt;&lt;author&gt;Strothers, Melissa A.&lt;/author&gt;&lt;author&gt;Rizzi, George P.&lt;/author&gt;&lt;author&gt;Villagran, Maria D.&lt;/author&gt;&lt;/authors&gt;&lt;/contributors&gt;&lt;titles&gt;&lt;title&gt;Acrylamide formation mechanism in heated foods&lt;/title&gt;&lt;secondary-title&gt;Journal of Agricultural and Food Chemistry&lt;/secondary-title&gt;&lt;/titles&gt;&lt;periodical&gt;&lt;full-title&gt;Journal of Agricultural and Food Chemistry&lt;/full-title&gt;&lt;abbr-1&gt;J. Agric. Food Chem.&lt;/abbr-1&gt;&lt;abbr-2&gt;J Agric Food Chem&lt;/abbr-2&gt;&lt;/periodical&gt;&lt;pages&gt;4782-4787&lt;/pages&gt;&lt;volume&gt;51&lt;/volume&gt;&lt;number&gt;16&lt;/number&gt;&lt;dates&gt;&lt;year&gt;2003&lt;/year&gt;&lt;pub-dates&gt;&lt;date&gt;2003/07/01&lt;/date&gt;&lt;/pub-dates&gt;&lt;/dates&gt;&lt;publisher&gt;American Chemical Society&lt;/publisher&gt;&lt;isbn&gt;0021-8561&lt;/isbn&gt;&lt;urls&gt;&lt;related-urls&gt;&lt;url&gt;http://dx.doi.org/10.1021/jf034180i&lt;/url&gt;&lt;/related-urls&gt;&lt;/urls&gt;&lt;electronic-resource-num&gt;10.1021/jf034180i&lt;/electronic-resource-num&gt;&lt;access-date&gt;2012/12/08&lt;/access-date&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2" w:tooltip="Zyzak, 2003 #48" w:history="1">
        <w:r w:rsidRPr="00B643C1">
          <w:rPr>
            <w:rFonts w:ascii="Times New Roman" w:hAnsi="Times New Roman"/>
            <w:noProof/>
            <w:sz w:val="20"/>
            <w:szCs w:val="20"/>
            <w:lang w:val="en-GB"/>
          </w:rPr>
          <w:t>2</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This toxic compound is also found in various carbohydrate-rich products such as French fries, potato crisps, cereals, bread and etc. The levels of acrylamide have been found up to 4 mg/ kg in potato crisps as reported by Erickson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&lt;EndNote&gt;&lt;Cite&gt;&lt;Author&gt;Erickson&lt;/Author&gt;&lt;Year&gt;2004&lt;/Year&gt;&lt;RecNum&gt;27&lt;/RecNum&gt;&lt;DisplayText&gt;&lt;style font="Times New Roman" size="10"&gt;[3]&lt;/style&gt;&lt;/DisplayText&gt;&lt;record&gt;&lt;rec-number&gt;27&lt;/rec-number&gt;&lt;foreign-keys&gt;&lt;key app="EN" db-id="p5r5zvptkaxx5sex0dm5szph99d2frr25vss"&gt;27&lt;/key&gt;&lt;/foreign-keys&gt;&lt;ref-type name="Journal Article"&gt;17&lt;/ref-type&gt;&lt;contributors&gt;&lt;authors&gt;&lt;author&gt;B. E. Erickson&lt;/author&gt;&lt;/authors&gt;&lt;/contributors&gt;&lt;titles&gt;&lt;title&gt;Finding acrylamide&lt;/title&gt;&lt;secondary-title&gt;Analytical Chemistry&lt;/secondary-title&gt;&lt;/titles&gt;&lt;periodical&gt;&lt;full-title&gt;Analytical Chemistry&lt;/full-title&gt;&lt;abbr-1&gt;Anal. Chem.&lt;/abbr-1&gt;&lt;abbr-2&gt;Anal Chem&lt;/abbr-2&gt;&lt;/periodical&gt;&lt;pages&gt;247A-248A&lt;/pages&gt;&lt;volume&gt;76&lt;/volume&gt;&lt;number&gt;13&lt;/number&gt;&lt;keywords&gt;&lt;keyword&gt;Acrylamide&lt;/keyword&gt;&lt;keyword&gt;Animals&lt;/keyword&gt;&lt;keyword&gt;Chromatography, Gas&lt;/keyword&gt;&lt;keyword&gt;Chromatography, High Pressure Liquid&lt;/keyword&gt;&lt;keyword&gt;Food Contamination&lt;/keyword&gt;&lt;keyword&gt;Hemoglobins&lt;/keyword&gt;&lt;keyword&gt;Humans&lt;/keyword&gt;&lt;keyword&gt;Mass Spectrometry&lt;/keyword&gt;&lt;keyword&gt;Rats&lt;/keyword&gt;&lt;keyword&gt;analysis&lt;/keyword&gt;&lt;keyword&gt;chemistry&lt;/keyword&gt;&lt;keyword&gt;methods&lt;/keyword&gt;&lt;/keywords&gt;&lt;dates&gt;&lt;year&gt;2004&lt;/year&gt;&lt;/dates&gt;&lt;isbn&gt;0003-2700&lt;/isbn&gt;&lt;urls&gt;&lt;related-urls&gt;&lt;url&gt;http://pubget.com/paper/15243978&lt;/url&gt;&lt;url&gt;http://pubs.acs.org/doi/pdf/10.1021/ac0415814&lt;/url&gt;&lt;/related-urls&gt;&lt;/urls&gt;&lt;remote-database-provider&gt;Pubget&lt;/remote-database-provider&gt;&lt;language&gt;eng&lt;/language&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3" w:tooltip="Erickson, 2004 #27" w:history="1">
        <w:r w:rsidRPr="00B643C1">
          <w:rPr>
            <w:rFonts w:ascii="Times New Roman" w:hAnsi="Times New Roman"/>
            <w:noProof/>
            <w:sz w:val="20"/>
            <w:szCs w:val="20"/>
            <w:lang w:val="en-GB"/>
          </w:rPr>
          <w:t>3</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Research done by Dybing et al. revealed that the average consumption of acrylamide for adults were 0.3–0.6 µg/kg body weight while higher exposure for children and adolescents (0.4–0.6 µg/ kg body weight)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&lt;EndNote&gt;&lt;Cite&gt;&lt;Author&gt;Dybing&lt;/Author&gt;&lt;Year&gt;2005&lt;/Year&gt;&lt;RecNum&gt;29&lt;/RecNum&gt;&lt;DisplayText&gt;&lt;style font="Times New Roman" size="10"&gt;[4]&lt;/style&gt;&lt;/DisplayText&gt;&lt;record&gt;&lt;rec-number&gt;29&lt;/rec-number&gt;&lt;foreign-keys&gt;&lt;key app="EN" db-id="p5r5zvptkaxx5sex0dm5szph99d2frr25vss"&gt;29&lt;/key&gt;&lt;/foreign-keys&gt;&lt;ref-type name="Journal Article"&gt;17&lt;/ref-type&gt;&lt;contributors&gt;&lt;authors&gt;&lt;author&gt;Dybing, E.&lt;/author&gt;&lt;author&gt;Farmer, P. B.&lt;/author&gt;&lt;author&gt;Andersen, M.&lt;/author&gt;&lt;author&gt;Fennell, T. R.&lt;/author&gt;&lt;author&gt;Lalljie, S. P. D.&lt;/author&gt;&lt;author&gt;Müller, D. J. G.&lt;/author&gt;&lt;author&gt;Olin, S.&lt;/author&gt;&lt;author&gt;Petersen, B. J.&lt;/author&gt;&lt;author&gt;Schlatter, J.&lt;/author&gt;&lt;author&gt;Scholz, G.&lt;/author&gt;&lt;author&gt;Scimeca, J. A.&lt;/author&gt;&lt;author&gt;Slimani, N.&lt;/author&gt;&lt;author&gt;Törnqvist, M.&lt;/author&gt;&lt;author&gt;Tuijtelaars, S.&lt;/author&gt;&lt;author&gt;Verger, P.&lt;/author&gt;&lt;/authors&gt;&lt;/contributors&gt;&lt;titles&gt;&lt;title&gt;Human exposure and internal dose assessments of acrylamide in food&lt;/title&gt;&lt;secondary-title&gt;Food and Chemical Toxicology&lt;/secondary-title&gt;&lt;/titles&gt;&lt;periodical&gt;&lt;full-title&gt;Food and Chemical Toxicology&lt;/full-title&gt;&lt;abbr-1&gt;Food Chem. Toxicol.&lt;/abbr-1&gt;&lt;abbr-2&gt;Food Chem Toxicol&lt;/abbr-2&gt;&lt;/periodical&gt;&lt;pages&gt;365-410&lt;/pages&gt;&lt;volume&gt;43&lt;/volume&gt;&lt;number&gt;3&lt;/number&gt;&lt;dates&gt;&lt;year&gt;2005&lt;/year&gt;&lt;/dates&gt;&lt;isbn&gt;0278-6915&lt;/isbn&gt;&lt;urls&gt;&lt;related-urls&gt;&lt;url&gt;http://www.sciencedirect.com/science/article/pii/S027869150400328X&lt;/url&gt;&lt;/related-urls&gt;&lt;/urls&gt;&lt;electronic-resource-num&gt;http://dx.doi.org/10.1016/j.fct.2004.11.004&lt;/electronic-resource-num&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4" w:tooltip="Dybing, 2005 #29" w:history="1">
        <w:r w:rsidRPr="00B643C1">
          <w:rPr>
            <w:rFonts w:ascii="Times New Roman" w:hAnsi="Times New Roman"/>
            <w:noProof/>
            <w:sz w:val="20"/>
            <w:szCs w:val="20"/>
            <w:lang w:val="en-GB"/>
          </w:rPr>
          <w:t>4</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This is due to the eating habits of children as they tend to consume more acrylamide-rich foods such as French fries and potato chips. The International Agency for Research on Cancer classified acrylamide as a neurotoxin (probable human carcinogen compound) due to its ability to form adducts with haemoglobin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&lt;EndNote&gt;&lt;Cite&gt;&lt;Author&gt;IARC&lt;/Author&gt;&lt;Year&gt;1994&lt;/Year&gt;&lt;RecNum&gt;25&lt;/RecNum&gt;&lt;DisplayText&gt;&lt;style font="Times New Roman" size="10"&gt;[5]&lt;/style&gt;&lt;/DisplayText&gt;&lt;record&gt;&lt;rec-number&gt;25&lt;/rec-number&gt;&lt;foreign-keys&gt;&lt;key app="EN" db-id="p5r5zvptkaxx5sex0dm5szph99d2frr25vss"&gt;25&lt;/key&gt;&lt;/foreign-keys&gt;&lt;ref-type name="Book"&gt;6&lt;/ref-type&gt;&lt;contributors&gt;&lt;authors&gt;&lt;author&gt;IARC&lt;/author&gt;&lt;/authors&gt;&lt;/contributors&gt;&lt;titles&gt;&lt;title&gt;Monographs on the Evaluation of Carcinogenic Risks to Humans, Some Industrial Chemicals&lt;/title&gt;&lt;/titles&gt;&lt;pages&gt;389-433&lt;/pages&gt;&lt;volume&gt;60&lt;/volume&gt;&lt;dates&gt;&lt;year&gt;1994&lt;/year&gt;&lt;/dates&gt;&lt;pub-location&gt;Lyon, France&lt;/pub-location&gt;&lt;publisher&gt;International Agency for Research on Cancer&lt;/publisher&gt;&lt;urls&gt;&lt;/urls&gt;&lt;/record&gt;&lt;/Cite&gt;&lt;/EndNote&gt;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5" w:tooltip="IARC, 1994 #25" w:history="1">
        <w:r w:rsidRPr="00B643C1">
          <w:rPr>
            <w:rFonts w:ascii="Times New Roman" w:hAnsi="Times New Roman"/>
            <w:noProof/>
            <w:sz w:val="20"/>
            <w:szCs w:val="20"/>
            <w:lang w:val="en-GB"/>
          </w:rPr>
          <w:t>5</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The conventional methods to determine acrylamide in foods are high-performance liquid chromatography (HPLC), gas chromatography-mass spectrometry (GC-MS) and other chromatographic methods. These chromatographic methods are time consuming, costly, and required high laboratory skills. Moreover, complicated sample preparation and derivatization of acrylamide e.g. bromination are laborious. Besides that, these techniques are not suitable for </w:t>
      </w:r>
      <w:r w:rsidRPr="00B643C1">
        <w:rPr>
          <w:rFonts w:ascii="Times New Roman" w:hAnsi="Times New Roman"/>
          <w:i/>
          <w:sz w:val="20"/>
          <w:szCs w:val="20"/>
          <w:lang w:val="en-GB"/>
        </w:rPr>
        <w:t>in-situ</w:t>
      </w:r>
      <w:r w:rsidRPr="00B643C1">
        <w:rPr>
          <w:rFonts w:ascii="Times New Roman" w:hAnsi="Times New Roman"/>
          <w:sz w:val="20"/>
          <w:szCs w:val="20"/>
          <w:lang w:val="en-GB"/>
        </w:rPr>
        <w:t xml:space="preserve"> analysis due to the large size of the instruments.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Enzyme-linked immunosorbent assay (ELISA) technique has been developed for quantification of acrylamide. Specific antibody is required for detecting acrylamide due to its low molecular mass </w:t>
      </w:r>
      <w:r w:rsidRPr="00B643C1">
        <w:rPr>
          <w:rFonts w:ascii="Times New Roman" w:hAnsi="Times New Roman"/>
          <w:sz w:val="20"/>
          <w:szCs w:val="20"/>
          <w:lang w:val="en-GB"/>
        </w:rPr>
        <w:fldChar w:fldCharType="begin">
          <w:fldData xml:space="preserve">PEVuZE5vdGU+PENpdGU+PEF1dGhvcj5QcmVzdG9uPC9BdXRob3I+PFllYXI+MjAwODwvWWVhcj48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</w:fldData>
        </w:fldChar>
      </w:r>
      <w:r w:rsidRPr="00B643C1">
        <w:rPr>
          <w:rFonts w:ascii="Times New Roman" w:hAnsi="Times New Roman"/>
          <w:sz w:val="20"/>
          <w:szCs w:val="20"/>
          <w:lang w:val="en-GB"/>
        </w:rPr>
        <w:instrText xml:space="preserve"> ADDIN EN.CITE </w:instrText>
      </w:r>
      <w:r w:rsidRPr="00B643C1">
        <w:rPr>
          <w:rFonts w:ascii="Times New Roman" w:hAnsi="Times New Roman"/>
          <w:sz w:val="20"/>
          <w:szCs w:val="20"/>
          <w:lang w:val="en-GB"/>
        </w:rPr>
        <w:fldChar w:fldCharType="begin">
          <w:fldData xml:space="preserve">PEVuZE5vdGU+PENpdGU+PEF1dGhvcj5QcmVzdG9uPC9BdXRob3I+PFllYXI+MjAwODwvWWVhcj48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</w:fldData>
        </w:fldChar>
      </w:r>
      <w:r w:rsidRPr="00B643C1">
        <w:rPr>
          <w:rFonts w:ascii="Times New Roman" w:hAnsi="Times New Roman"/>
          <w:sz w:val="20"/>
          <w:szCs w:val="20"/>
          <w:lang w:val="en-GB"/>
        </w:rPr>
        <w:instrText xml:space="preserve"> ADDIN EN.CITE.DATA </w:instrText>
      </w:r>
      <w:r w:rsidRPr="00B643C1">
        <w:rPr>
          <w:rFonts w:ascii="Times New Roman" w:hAnsi="Times New Roman"/>
          <w:sz w:val="20"/>
          <w:szCs w:val="20"/>
          <w:lang w:val="en-GB"/>
        </w:rPr>
      </w:r>
      <w:r w:rsidRPr="00B643C1">
        <w:rPr>
          <w:rFonts w:ascii="Times New Roman" w:hAnsi="Times New Roman"/>
          <w:sz w:val="20"/>
          <w:szCs w:val="20"/>
          <w:lang w:val="en-GB"/>
        </w:rPr>
        <w:fldChar w:fldCharType="end"/>
      </w:r>
      <w:r w:rsidRPr="00B643C1">
        <w:rPr>
          <w:rFonts w:ascii="Times New Roman" w:hAnsi="Times New Roman"/>
          <w:sz w:val="20"/>
          <w:szCs w:val="20"/>
          <w:lang w:val="en-GB"/>
        </w:rPr>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6" w:tooltip="Preston, 2008 #49" w:history="1">
        <w:r w:rsidRPr="00B643C1">
          <w:rPr>
            <w:rFonts w:ascii="Times New Roman" w:hAnsi="Times New Roman"/>
            <w:noProof/>
            <w:sz w:val="20"/>
            <w:szCs w:val="20"/>
            <w:lang w:val="en-GB"/>
          </w:rPr>
          <w:t>6</w:t>
        </w:r>
      </w:hyperlink>
      <w:r w:rsidRPr="00B643C1">
        <w:rPr>
          <w:rFonts w:ascii="Times New Roman" w:hAnsi="Times New Roman"/>
          <w:noProof/>
          <w:sz w:val="20"/>
          <w:szCs w:val="20"/>
          <w:lang w:val="en-GB"/>
        </w:rPr>
        <w:t xml:space="preserve">, </w:t>
      </w:r>
      <w:hyperlink w:anchor="_ENREF_7" w:tooltip="Zhou, 2008 #50" w:history="1">
        <w:r w:rsidRPr="00B643C1">
          <w:rPr>
            <w:rFonts w:ascii="Times New Roman" w:hAnsi="Times New Roman"/>
            <w:noProof/>
            <w:sz w:val="20"/>
            <w:szCs w:val="20"/>
            <w:lang w:val="en-GB"/>
          </w:rPr>
          <w:t>7</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The reported limits of detection (LODs) using ELISA techniques were very low apart from, complicated and time consuming procedures to produce antibodies which are among several issues for this technique.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Hu et al. developed a method for acrylamide detection based on the acrylamide-induced distance increase between quantum dots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&lt;EndNote&gt;&lt;Cite&gt;&lt;Author&gt;Hu&lt;/Author&gt;&lt;Year&gt;2014&lt;/Year&gt;&lt;RecNum&gt;96&lt;/RecNum&gt;&lt;DisplayText&gt;&lt;style font="Times New Roman" size="10"&gt;[8]&lt;/style&gt;&lt;/DisplayText&gt;&lt;record&gt;&lt;rec-number&gt;96&lt;/rec-number&gt;&lt;foreign-keys&gt;&lt;key app="EN" db-id="p5r5zvptkaxx5sex0dm5szph99d2frr25vss"&gt;96&lt;/key&gt;&lt;/foreign-keys&gt;&lt;ref-type name="Journal Article"&gt;17&lt;/ref-type&gt;&lt;contributors&gt;&lt;authors&gt;&lt;author&gt;Hu, Qinqin&lt;/author&gt;&lt;author&gt;Xu, Xiahong&lt;/author&gt;&lt;author&gt;Li, Zhanming&lt;/author&gt;&lt;author&gt;Zhang, Ying&lt;/author&gt;&lt;author&gt;Wang, Jianping&lt;/author&gt;&lt;author&gt;Fu, Yingchun&lt;/author&gt;&lt;author&gt;Li, Yanbin&lt;/author&gt;&lt;/authors&gt;&lt;/contributors&gt;&lt;titles&gt;&lt;title&gt;Detection of acrylamide in potato chips using a fluorescent sensing method based on acrylamide polymerization-induced distance increase between quantum dots&lt;/title&gt;&lt;secondary-title&gt;Biosensors and Bioelectronics&lt;/secondary-title&gt;&lt;/titles&gt;&lt;periodical&gt;&lt;full-title&gt;Biosensors and Bioelectronics&lt;/full-title&gt;&lt;abbr-1&gt;Biosens. Bioelectron.&lt;/abbr-1&gt;&lt;abbr-2&gt;Biosens. Bioelectron.&lt;/abbr-2&gt;&lt;/periodical&gt;&lt;pages&gt;64-71&lt;/pages&gt;&lt;volume&gt;54&lt;/volume&gt;&lt;keywords&gt;&lt;keyword&gt;Acrylamide&lt;/keyword&gt;&lt;keyword&gt;Detection&lt;/keyword&gt;&lt;keyword&gt;Quantum dots&lt;/keyword&gt;&lt;keyword&gt;N-acryloxysuccinimide&lt;/keyword&gt;&lt;keyword&gt;Diphenyl (2, 4, 6-trimethylbenzoyl) phosphine oxide&lt;/keyword&gt;&lt;/keywords&gt;&lt;dates&gt;&lt;year&gt;2014&lt;/year&gt;&lt;/dates&gt;&lt;isbn&gt;0956-5663&lt;/isbn&gt;&lt;urls&gt;&lt;related-urls&gt;&lt;url&gt;http://www.sciencedirect.com/science/article/pii/S0956566313007483&lt;/url&gt;&lt;/related-urls&gt;&lt;/urls&gt;&lt;electronic-resource-num&gt;http://dx.doi.org/10.1016/j.bios.2013.10.046&lt;/electronic-resource-num&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8" w:tooltip="Hu, 2014 #96" w:history="1">
        <w:r w:rsidRPr="00B643C1">
          <w:rPr>
            <w:rFonts w:ascii="Times New Roman" w:hAnsi="Times New Roman"/>
            <w:noProof/>
            <w:sz w:val="20"/>
            <w:szCs w:val="20"/>
            <w:lang w:val="en-GB"/>
          </w:rPr>
          <w:t>8</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The principle of this detection method is distance-dependent fluorescence changes caused by acrylamide polymerization. Fluorescence intensity increases with the presence of acrylamide due to the increase in distance between quantum dots. However, the responded linear range (</w:t>
      </w:r>
      <w:r w:rsidRPr="00B643C1">
        <w:rPr>
          <w:rFonts w:ascii="Times New Roman" w:hAnsi="Times New Roman"/>
          <w:bCs/>
          <w:sz w:val="20"/>
          <w:szCs w:val="20"/>
          <w:lang w:val="ms-MY"/>
        </w:rPr>
        <w:t>3.5 x 10</w:t>
      </w:r>
      <w:r w:rsidRPr="00B643C1">
        <w:rPr>
          <w:rFonts w:ascii="Times New Roman" w:hAnsi="Times New Roman"/>
          <w:bCs/>
          <w:sz w:val="20"/>
          <w:szCs w:val="20"/>
          <w:vertAlign w:val="superscript"/>
          <w:lang w:val="ms-MY"/>
        </w:rPr>
        <w:t>-5</w:t>
      </w:r>
      <w:r w:rsidRPr="00B643C1">
        <w:rPr>
          <w:rFonts w:ascii="Times New Roman" w:hAnsi="Times New Roman"/>
          <w:bCs/>
          <w:sz w:val="20"/>
          <w:szCs w:val="20"/>
          <w:lang w:val="ms-MY"/>
        </w:rPr>
        <w:t xml:space="preserve"> to 3.5 g/L</w:t>
      </w:r>
      <w:r w:rsidRPr="00B643C1">
        <w:rPr>
          <w:rFonts w:ascii="Times New Roman" w:hAnsi="Times New Roman"/>
          <w:sz w:val="20"/>
          <w:szCs w:val="20"/>
          <w:lang w:val="en-GB"/>
        </w:rPr>
        <w:t>) and LOD (</w:t>
      </w:r>
      <w:r w:rsidRPr="00B643C1">
        <w:rPr>
          <w:rFonts w:ascii="Times New Roman" w:hAnsi="Times New Roman"/>
          <w:bCs/>
          <w:sz w:val="20"/>
          <w:szCs w:val="20"/>
          <w:lang w:val="ms-MY"/>
        </w:rPr>
        <w:t>3.5 x 10</w:t>
      </w:r>
      <w:r w:rsidRPr="00B643C1">
        <w:rPr>
          <w:rFonts w:ascii="Times New Roman" w:hAnsi="Times New Roman"/>
          <w:bCs/>
          <w:sz w:val="20"/>
          <w:szCs w:val="20"/>
          <w:vertAlign w:val="superscript"/>
          <w:lang w:val="ms-MY"/>
        </w:rPr>
        <w:t xml:space="preserve">-5 </w:t>
      </w:r>
      <w:r w:rsidRPr="00B643C1">
        <w:rPr>
          <w:rFonts w:ascii="Times New Roman" w:hAnsi="Times New Roman"/>
          <w:bCs/>
          <w:sz w:val="20"/>
          <w:szCs w:val="20"/>
          <w:lang w:val="ms-MY"/>
        </w:rPr>
        <w:t>g/L</w:t>
      </w:r>
      <w:r w:rsidRPr="00B643C1">
        <w:rPr>
          <w:rFonts w:ascii="Times New Roman" w:hAnsi="Times New Roman"/>
          <w:sz w:val="20"/>
          <w:szCs w:val="20"/>
          <w:lang w:val="en-GB"/>
        </w:rPr>
        <w:t xml:space="preserve">) were high.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There are some publications reported on voltametric determination of acrylamide </w:t>
      </w:r>
      <w:r w:rsidRPr="00B643C1">
        <w:rPr>
          <w:rFonts w:ascii="Times New Roman" w:hAnsi="Times New Roman"/>
          <w:sz w:val="20"/>
          <w:szCs w:val="20"/>
          <w:lang w:val="en-GB"/>
        </w:rPr>
        <w:fldChar w:fldCharType="begin">
          <w:fldData xml:space="preserve">PEVuZE5vdGU+PENpdGU+PEF1dGhvcj5TdG9iaWVja2E8L0F1dGhvcj48WWVhcj4yMDA3PC9ZZWFy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</w:fldData>
        </w:fldChar>
      </w:r>
      <w:r w:rsidRPr="00B643C1">
        <w:rPr>
          <w:rFonts w:ascii="Times New Roman" w:hAnsi="Times New Roman"/>
          <w:sz w:val="20"/>
          <w:szCs w:val="20"/>
          <w:lang w:val="en-GB"/>
        </w:rPr>
        <w:instrText xml:space="preserve"> ADDIN EN.CITE </w:instrText>
      </w:r>
      <w:r w:rsidRPr="00B643C1">
        <w:rPr>
          <w:rFonts w:ascii="Times New Roman" w:hAnsi="Times New Roman"/>
          <w:sz w:val="20"/>
          <w:szCs w:val="20"/>
          <w:lang w:val="en-GB"/>
        </w:rPr>
        <w:fldChar w:fldCharType="begin">
          <w:fldData xml:space="preserve">PEVuZE5vdGU+PENpdGU+PEF1dGhvcj5TdG9iaWVja2E8L0F1dGhvcj48WWVhcj4yMDA3PC9ZZWFy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</w:fldData>
        </w:fldChar>
      </w:r>
      <w:r w:rsidRPr="00B643C1">
        <w:rPr>
          <w:rFonts w:ascii="Times New Roman" w:hAnsi="Times New Roman"/>
          <w:sz w:val="20"/>
          <w:szCs w:val="20"/>
          <w:lang w:val="en-GB"/>
        </w:rPr>
        <w:instrText xml:space="preserve"> ADDIN EN.CITE.DATA </w:instrText>
      </w:r>
      <w:r w:rsidRPr="00B643C1">
        <w:rPr>
          <w:rFonts w:ascii="Times New Roman" w:hAnsi="Times New Roman"/>
          <w:sz w:val="20"/>
          <w:szCs w:val="20"/>
          <w:lang w:val="en-GB"/>
        </w:rPr>
      </w:r>
      <w:r w:rsidRPr="00B643C1">
        <w:rPr>
          <w:rFonts w:ascii="Times New Roman" w:hAnsi="Times New Roman"/>
          <w:sz w:val="20"/>
          <w:szCs w:val="20"/>
          <w:lang w:val="en-GB"/>
        </w:rPr>
        <w:fldChar w:fldCharType="end"/>
      </w:r>
      <w:r w:rsidRPr="00B643C1">
        <w:rPr>
          <w:rFonts w:ascii="Times New Roman" w:hAnsi="Times New Roman"/>
          <w:sz w:val="20"/>
          <w:szCs w:val="20"/>
          <w:lang w:val="en-GB"/>
        </w:rPr>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9" w:tooltip="Stobiecka, 2007 #41" w:history="1">
        <w:r w:rsidRPr="00B643C1">
          <w:rPr>
            <w:rFonts w:ascii="Times New Roman" w:hAnsi="Times New Roman"/>
            <w:noProof/>
            <w:sz w:val="20"/>
            <w:szCs w:val="20"/>
            <w:lang w:val="en-GB"/>
          </w:rPr>
          <w:t>9-13</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Acrylamide forms adduct with haemoglobin and hence alter the electro-activity of haemoglobin. In spite of the low LOD (in nM), the sensors still </w:t>
      </w:r>
      <w:r>
        <w:rPr>
          <w:rFonts w:ascii="Times New Roman" w:hAnsi="Times New Roman"/>
          <w:sz w:val="20"/>
          <w:szCs w:val="20"/>
          <w:lang w:val="en-GB"/>
        </w:rPr>
        <w:t xml:space="preserve"> </w:t>
      </w:r>
      <w:r w:rsidRPr="00B643C1">
        <w:rPr>
          <w:rFonts w:ascii="Times New Roman" w:hAnsi="Times New Roman"/>
          <w:sz w:val="20"/>
          <w:szCs w:val="20"/>
          <w:lang w:val="en-GB"/>
        </w:rPr>
        <w:t xml:space="preserve">need to undergo electrode clean-up process, </w:t>
      </w:r>
      <w:r>
        <w:rPr>
          <w:rFonts w:ascii="Times New Roman" w:hAnsi="Times New Roman"/>
          <w:sz w:val="20"/>
          <w:szCs w:val="20"/>
          <w:lang w:val="en-GB"/>
        </w:rPr>
        <w:t xml:space="preserve"> </w:t>
      </w:r>
      <w:r w:rsidRPr="00B643C1">
        <w:rPr>
          <w:rFonts w:ascii="Times New Roman" w:hAnsi="Times New Roman"/>
          <w:sz w:val="20"/>
          <w:szCs w:val="20"/>
          <w:lang w:val="en-GB"/>
        </w:rPr>
        <w:t>and</w:t>
      </w:r>
      <w:r>
        <w:rPr>
          <w:rFonts w:ascii="Times New Roman" w:hAnsi="Times New Roman"/>
          <w:sz w:val="20"/>
          <w:szCs w:val="20"/>
          <w:lang w:val="en-GB"/>
        </w:rPr>
        <w:t xml:space="preserve"> </w:t>
      </w:r>
      <w:r w:rsidRPr="00B643C1">
        <w:rPr>
          <w:rFonts w:ascii="Times New Roman" w:hAnsi="Times New Roman"/>
          <w:sz w:val="20"/>
          <w:szCs w:val="20"/>
          <w:lang w:val="en-GB"/>
        </w:rPr>
        <w:t xml:space="preserve"> the </w:t>
      </w:r>
      <w:r>
        <w:rPr>
          <w:rFonts w:ascii="Times New Roman" w:hAnsi="Times New Roman"/>
          <w:sz w:val="20"/>
          <w:szCs w:val="20"/>
          <w:lang w:val="en-GB"/>
        </w:rPr>
        <w:t xml:space="preserve"> </w:t>
      </w:r>
      <w:r w:rsidRPr="00B643C1">
        <w:rPr>
          <w:rFonts w:ascii="Times New Roman" w:hAnsi="Times New Roman"/>
          <w:sz w:val="20"/>
          <w:szCs w:val="20"/>
          <w:lang w:val="en-GB"/>
        </w:rPr>
        <w:t>modified</w:t>
      </w:r>
      <w:r>
        <w:rPr>
          <w:rFonts w:ascii="Times New Roman" w:hAnsi="Times New Roman"/>
          <w:sz w:val="20"/>
          <w:szCs w:val="20"/>
          <w:lang w:val="en-GB"/>
        </w:rPr>
        <w:t xml:space="preserve"> </w:t>
      </w:r>
      <w:r w:rsidRPr="00B643C1">
        <w:rPr>
          <w:rFonts w:ascii="Times New Roman" w:hAnsi="Times New Roman"/>
          <w:sz w:val="20"/>
          <w:szCs w:val="20"/>
          <w:lang w:val="en-GB"/>
        </w:rPr>
        <w:t xml:space="preserve"> electrodes must be stored at low temperature (4 °C). Besides that, the immobilized haemoglobin is not stable due to its short shelf life (only 14 days).</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Some researchers reported on potentiometric biosensor of acrylamide degradation using microbial cells. Silva et al. hydrolysed acrylamide to acrylic acid and ammonia using </w:t>
      </w:r>
      <w:r w:rsidRPr="00B643C1">
        <w:rPr>
          <w:rFonts w:ascii="Times New Roman" w:hAnsi="Times New Roman"/>
          <w:i/>
          <w:sz w:val="20"/>
          <w:szCs w:val="20"/>
          <w:lang w:val="en-GB"/>
        </w:rPr>
        <w:t>Pseudomonas aeruginosa</w:t>
      </w:r>
      <w:r w:rsidRPr="00B643C1">
        <w:rPr>
          <w:rFonts w:ascii="Times New Roman" w:hAnsi="Times New Roman"/>
          <w:sz w:val="20"/>
          <w:szCs w:val="20"/>
          <w:lang w:val="en-GB"/>
        </w:rPr>
        <w:t xml:space="preserve">, prior detection using ammonium-ion selective electrode </w:t>
      </w:r>
      <w:r w:rsidRPr="00B643C1">
        <w:rPr>
          <w:rFonts w:ascii="Times New Roman" w:hAnsi="Times New Roman"/>
          <w:sz w:val="20"/>
          <w:szCs w:val="20"/>
          <w:lang w:val="en-GB"/>
        </w:rPr>
        <w:fldChar w:fldCharType="begin">
          <w:fldData xml:space="preserve">PEVuZE5vdGU+PENpdGU+PEF1dGhvcj5TaWx2YTwvQXV0aG9yPjxZZWFyPjIwMDk8L1llYXI+PFJl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=
</w:fldData>
        </w:fldChar>
      </w:r>
      <w:r w:rsidRPr="00B643C1">
        <w:rPr>
          <w:rFonts w:ascii="Times New Roman" w:hAnsi="Times New Roman"/>
          <w:sz w:val="20"/>
          <w:szCs w:val="20"/>
          <w:lang w:val="en-GB"/>
        </w:rPr>
        <w:instrText xml:space="preserve"> ADDIN EN.CITE </w:instrText>
      </w:r>
      <w:r w:rsidRPr="00B643C1">
        <w:rPr>
          <w:rFonts w:ascii="Times New Roman" w:hAnsi="Times New Roman"/>
          <w:sz w:val="20"/>
          <w:szCs w:val="20"/>
          <w:lang w:val="en-GB"/>
        </w:rPr>
        <w:fldChar w:fldCharType="begin">
          <w:fldData xml:space="preserve">PEVuZE5vdGU+PENpdGU+PEF1dGhvcj5TaWx2YTwvQXV0aG9yPjxZZWFyPjIwMDk8L1llYXI+PFJl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=
</w:fldData>
        </w:fldChar>
      </w:r>
      <w:r w:rsidRPr="00B643C1">
        <w:rPr>
          <w:rFonts w:ascii="Times New Roman" w:hAnsi="Times New Roman"/>
          <w:sz w:val="20"/>
          <w:szCs w:val="20"/>
          <w:lang w:val="en-GB"/>
        </w:rPr>
        <w:instrText xml:space="preserve"> ADDIN EN.CITE.DATA </w:instrText>
      </w:r>
      <w:r w:rsidRPr="00B643C1">
        <w:rPr>
          <w:rFonts w:ascii="Times New Roman" w:hAnsi="Times New Roman"/>
          <w:sz w:val="20"/>
          <w:szCs w:val="20"/>
          <w:lang w:val="en-GB"/>
        </w:rPr>
      </w:r>
      <w:r w:rsidRPr="00B643C1">
        <w:rPr>
          <w:rFonts w:ascii="Times New Roman" w:hAnsi="Times New Roman"/>
          <w:sz w:val="20"/>
          <w:szCs w:val="20"/>
          <w:lang w:val="en-GB"/>
        </w:rPr>
        <w:fldChar w:fldCharType="end"/>
      </w:r>
      <w:r w:rsidRPr="00B643C1">
        <w:rPr>
          <w:rFonts w:ascii="Times New Roman" w:hAnsi="Times New Roman"/>
          <w:sz w:val="20"/>
          <w:szCs w:val="20"/>
          <w:lang w:val="en-GB"/>
        </w:rPr>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14" w:tooltip="Silva, 2009 #38" w:history="1">
        <w:r w:rsidRPr="00B643C1">
          <w:rPr>
            <w:rFonts w:ascii="Times New Roman" w:hAnsi="Times New Roman"/>
            <w:noProof/>
            <w:sz w:val="20"/>
            <w:szCs w:val="20"/>
            <w:lang w:val="en-GB"/>
          </w:rPr>
          <w:t>14</w:t>
        </w:r>
      </w:hyperlink>
      <w:r w:rsidRPr="00B643C1">
        <w:rPr>
          <w:rFonts w:ascii="Times New Roman" w:hAnsi="Times New Roman"/>
          <w:noProof/>
          <w:sz w:val="20"/>
          <w:szCs w:val="20"/>
          <w:lang w:val="en-GB"/>
        </w:rPr>
        <w:t xml:space="preserve">, </w:t>
      </w:r>
      <w:hyperlink w:anchor="_ENREF_15" w:tooltip="Silva, 2011 #39" w:history="1">
        <w:r w:rsidRPr="00B643C1">
          <w:rPr>
            <w:rFonts w:ascii="Times New Roman" w:hAnsi="Times New Roman"/>
            <w:noProof/>
            <w:sz w:val="20"/>
            <w:szCs w:val="20"/>
            <w:lang w:val="en-GB"/>
          </w:rPr>
          <w:t>15</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Meanwhile, Ignatov et al. used oxygen electrode to test the respiration of </w:t>
      </w:r>
      <w:r w:rsidRPr="00B643C1">
        <w:rPr>
          <w:rFonts w:ascii="Times New Roman" w:hAnsi="Times New Roman"/>
          <w:i/>
          <w:sz w:val="20"/>
          <w:szCs w:val="20"/>
          <w:lang w:val="en-GB"/>
        </w:rPr>
        <w:t>Brevibacterium</w:t>
      </w:r>
      <w:r w:rsidRPr="00B643C1">
        <w:rPr>
          <w:rFonts w:ascii="Times New Roman" w:hAnsi="Times New Roman"/>
          <w:sz w:val="20"/>
          <w:szCs w:val="20"/>
          <w:lang w:val="en-GB"/>
        </w:rPr>
        <w:t xml:space="preserve"> sp. cells in acrylamide solution </w:t>
      </w:r>
      <w:r w:rsidRPr="00B643C1">
        <w:rPr>
          <w:rFonts w:ascii="Times New Roman" w:hAnsi="Times New Roman"/>
          <w:sz w:val="20"/>
          <w:szCs w:val="20"/>
          <w:lang w:val="en-GB"/>
        </w:rPr>
        <w:fldChar w:fldCharType="begin">
          <w:fldData xml:space="preserve">PEVuZE5vdGU+PENpdGU+PEF1dGhvcj5JZ25hdG92PC9BdXRob3I+PFllYXI+MTk5NjwvWWVhcj48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</w:fldData>
        </w:fldChar>
      </w:r>
      <w:r w:rsidRPr="00B643C1">
        <w:rPr>
          <w:rFonts w:ascii="Times New Roman" w:hAnsi="Times New Roman"/>
          <w:sz w:val="20"/>
          <w:szCs w:val="20"/>
          <w:lang w:val="en-GB"/>
        </w:rPr>
        <w:instrText xml:space="preserve"> ADDIN EN.CITE </w:instrText>
      </w:r>
      <w:r w:rsidRPr="00B643C1">
        <w:rPr>
          <w:rFonts w:ascii="Times New Roman" w:hAnsi="Times New Roman"/>
          <w:sz w:val="20"/>
          <w:szCs w:val="20"/>
          <w:lang w:val="en-GB"/>
        </w:rPr>
        <w:fldChar w:fldCharType="begin">
          <w:fldData xml:space="preserve">PEVuZE5vdGU+PENpdGU+PEF1dGhvcj5JZ25hdG92PC9BdXRob3I+PFllYXI+MTk5NjwvWWVhcj48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</w:fldData>
        </w:fldChar>
      </w:r>
      <w:r w:rsidRPr="00B643C1">
        <w:rPr>
          <w:rFonts w:ascii="Times New Roman" w:hAnsi="Times New Roman"/>
          <w:sz w:val="20"/>
          <w:szCs w:val="20"/>
          <w:lang w:val="en-GB"/>
        </w:rPr>
        <w:instrText xml:space="preserve"> ADDIN EN.CITE.DATA </w:instrText>
      </w:r>
      <w:r w:rsidRPr="00B643C1">
        <w:rPr>
          <w:rFonts w:ascii="Times New Roman" w:hAnsi="Times New Roman"/>
          <w:sz w:val="20"/>
          <w:szCs w:val="20"/>
          <w:lang w:val="en-GB"/>
        </w:rPr>
      </w:r>
      <w:r w:rsidRPr="00B643C1">
        <w:rPr>
          <w:rFonts w:ascii="Times New Roman" w:hAnsi="Times New Roman"/>
          <w:sz w:val="20"/>
          <w:szCs w:val="20"/>
          <w:lang w:val="en-GB"/>
        </w:rPr>
        <w:fldChar w:fldCharType="end"/>
      </w:r>
      <w:r w:rsidRPr="00B643C1">
        <w:rPr>
          <w:rFonts w:ascii="Times New Roman" w:hAnsi="Times New Roman"/>
          <w:sz w:val="20"/>
          <w:szCs w:val="20"/>
          <w:lang w:val="en-GB"/>
        </w:rPr>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16" w:tooltip="Ignatov, 1996 #98" w:history="1">
        <w:r w:rsidRPr="00B643C1">
          <w:rPr>
            <w:rFonts w:ascii="Times New Roman" w:hAnsi="Times New Roman"/>
            <w:noProof/>
            <w:sz w:val="20"/>
            <w:szCs w:val="20"/>
            <w:lang w:val="en-GB"/>
          </w:rPr>
          <w:t>16</w:t>
        </w:r>
      </w:hyperlink>
      <w:r w:rsidRPr="00B643C1">
        <w:rPr>
          <w:rFonts w:ascii="Times New Roman" w:hAnsi="Times New Roman"/>
          <w:noProof/>
          <w:sz w:val="20"/>
          <w:szCs w:val="20"/>
          <w:lang w:val="en-GB"/>
        </w:rPr>
        <w:t xml:space="preserve">, </w:t>
      </w:r>
      <w:hyperlink w:anchor="_ENREF_17" w:tooltip="Ignatov, 1997 #33" w:history="1">
        <w:r w:rsidRPr="00B643C1">
          <w:rPr>
            <w:rFonts w:ascii="Times New Roman" w:hAnsi="Times New Roman"/>
            <w:noProof/>
            <w:sz w:val="20"/>
            <w:szCs w:val="20"/>
            <w:lang w:val="en-GB"/>
          </w:rPr>
          <w:t>17</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Although these sensors are selective towards acrylamide, </w:t>
      </w:r>
      <w:r>
        <w:rPr>
          <w:rFonts w:ascii="Times New Roman" w:hAnsi="Times New Roman"/>
          <w:sz w:val="20"/>
          <w:szCs w:val="20"/>
          <w:lang w:val="en-GB"/>
        </w:rPr>
        <w:t xml:space="preserve"> </w:t>
      </w:r>
      <w:r w:rsidRPr="00B643C1">
        <w:rPr>
          <w:rFonts w:ascii="Times New Roman" w:hAnsi="Times New Roman"/>
          <w:sz w:val="20"/>
          <w:szCs w:val="20"/>
          <w:lang w:val="en-GB"/>
        </w:rPr>
        <w:t>but are able to detect acrylamide</w:t>
      </w:r>
      <w:r>
        <w:rPr>
          <w:rFonts w:ascii="Times New Roman" w:hAnsi="Times New Roman"/>
          <w:sz w:val="20"/>
          <w:szCs w:val="20"/>
          <w:lang w:val="en-GB"/>
        </w:rPr>
        <w:t xml:space="preserve"> </w:t>
      </w:r>
      <w:r w:rsidRPr="00B643C1">
        <w:rPr>
          <w:rFonts w:ascii="Times New Roman" w:hAnsi="Times New Roman"/>
          <w:sz w:val="20"/>
          <w:szCs w:val="20"/>
          <w:lang w:val="en-GB"/>
        </w:rPr>
        <w:t xml:space="preserve"> in most </w:t>
      </w:r>
      <w:r>
        <w:rPr>
          <w:rFonts w:ascii="Times New Roman" w:hAnsi="Times New Roman"/>
          <w:sz w:val="20"/>
          <w:szCs w:val="20"/>
          <w:lang w:val="en-GB"/>
        </w:rPr>
        <w:t xml:space="preserve"> </w:t>
      </w:r>
      <w:r w:rsidRPr="00B643C1">
        <w:rPr>
          <w:rFonts w:ascii="Times New Roman" w:hAnsi="Times New Roman"/>
          <w:sz w:val="20"/>
          <w:szCs w:val="20"/>
          <w:lang w:val="en-GB"/>
        </w:rPr>
        <w:t>of</w:t>
      </w:r>
      <w:r>
        <w:rPr>
          <w:rFonts w:ascii="Times New Roman" w:hAnsi="Times New Roman"/>
          <w:sz w:val="20"/>
          <w:szCs w:val="20"/>
          <w:lang w:val="en-GB"/>
        </w:rPr>
        <w:t xml:space="preserve"> </w:t>
      </w:r>
      <w:r w:rsidRPr="00B643C1">
        <w:rPr>
          <w:rFonts w:ascii="Times New Roman" w:hAnsi="Times New Roman"/>
          <w:sz w:val="20"/>
          <w:szCs w:val="20"/>
          <w:lang w:val="en-GB"/>
        </w:rPr>
        <w:t xml:space="preserve"> the</w:t>
      </w:r>
      <w:r>
        <w:rPr>
          <w:rFonts w:ascii="Times New Roman" w:hAnsi="Times New Roman"/>
          <w:sz w:val="20"/>
          <w:szCs w:val="20"/>
          <w:lang w:val="en-GB"/>
        </w:rPr>
        <w:t xml:space="preserve"> </w:t>
      </w:r>
      <w:r w:rsidRPr="00B643C1">
        <w:rPr>
          <w:rFonts w:ascii="Times New Roman" w:hAnsi="Times New Roman"/>
          <w:sz w:val="20"/>
          <w:szCs w:val="20"/>
          <w:lang w:val="en-GB"/>
        </w:rPr>
        <w:t xml:space="preserve"> real </w:t>
      </w:r>
      <w:r>
        <w:rPr>
          <w:rFonts w:ascii="Times New Roman" w:hAnsi="Times New Roman"/>
          <w:sz w:val="20"/>
          <w:szCs w:val="20"/>
          <w:lang w:val="en-GB"/>
        </w:rPr>
        <w:t xml:space="preserve"> </w:t>
      </w:r>
      <w:r w:rsidRPr="00B643C1">
        <w:rPr>
          <w:rFonts w:ascii="Times New Roman" w:hAnsi="Times New Roman"/>
          <w:sz w:val="20"/>
          <w:szCs w:val="20"/>
          <w:lang w:val="en-GB"/>
        </w:rPr>
        <w:t xml:space="preserve">food </w:t>
      </w:r>
      <w:r>
        <w:rPr>
          <w:rFonts w:ascii="Times New Roman" w:hAnsi="Times New Roman"/>
          <w:sz w:val="20"/>
          <w:szCs w:val="20"/>
          <w:lang w:val="en-GB"/>
        </w:rPr>
        <w:t xml:space="preserve"> </w:t>
      </w:r>
      <w:r w:rsidRPr="00B643C1">
        <w:rPr>
          <w:rFonts w:ascii="Times New Roman" w:hAnsi="Times New Roman"/>
          <w:sz w:val="20"/>
          <w:szCs w:val="20"/>
          <w:lang w:val="en-GB"/>
        </w:rPr>
        <w:t xml:space="preserve">samples due to the high detection limits (in mM).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Some bio-molecules such as cells have been used for quantitative determination of acrylamide. Hasegawa et al. developed a sensor based on the ability of acrylamide to create stress onto the cells. The bacterial cells release fluorescence with the present of acrylamide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&lt;EndNote&gt;&lt;Cite&gt;&lt;Author&gt;Hasegawa&lt;/Author&gt;&lt;Year&gt;2007&lt;/Year&gt;&lt;RecNum&gt;32&lt;/RecNum&gt;&lt;DisplayText&gt;&lt;style font="Times New Roman" size="10"&gt;[18]&lt;/style&gt;&lt;/DisplayText&gt;&lt;record&gt;&lt;rec-number&gt;32&lt;/rec-number&gt;&lt;foreign-keys&gt;&lt;key app="EN" db-id="p5r5zvptkaxx5sex0dm5szph99d2frr25vss"&gt;32&lt;/key&gt;&lt;/foreign-keys&gt;&lt;ref-type name="Journal Article"&gt;17&lt;/ref-type&gt;&lt;contributors&gt;&lt;authors&gt;&lt;author&gt;Hasegawa, Koichi&lt;/author&gt;&lt;author&gt;Miwa, Satsuki&lt;/author&gt;&lt;author&gt;Tajima, Tomoko&lt;/author&gt;&lt;author&gt;Tsutsumiuchi, Kaname&lt;/author&gt;&lt;author&gt;Taniguchi, Hajime&lt;/author&gt;&lt;author&gt;Miwa, Johji&lt;/author&gt;&lt;/authors&gt;&lt;/contributors&gt;&lt;titles&gt;&lt;title&gt;A rapid and inexpensive method to screen for common foods that reduce the action of acrylamide, a harmful substance in food&lt;/title&gt;&lt;secondary-title&gt;Toxicology Letters&lt;/secondary-title&gt;&lt;/titles&gt;&lt;periodical&gt;&lt;full-title&gt;Toxicology Letters&lt;/full-title&gt;&lt;/periodical&gt;&lt;pages&gt;82-88&lt;/pages&gt;&lt;volume&gt;175&lt;/volume&gt;&lt;number&gt;1–3&lt;/number&gt;&lt;keywords&gt;&lt;keyword&gt;Biosensor&lt;/keyword&gt;&lt;keyword&gt;Acrylamide&lt;/keyword&gt;&lt;keyword&gt;GST&lt;/keyword&gt;&lt;keyword&gt;Food&lt;/keyword&gt;&lt;keyword&gt;Caenorhabditis elegans&lt;/keyword&gt;&lt;/keywords&gt;&lt;dates&gt;&lt;year&gt;2007&lt;/year&gt;&lt;/dates&gt;&lt;isbn&gt;0378-4274&lt;/isbn&gt;&lt;urls&gt;&lt;related-urls&gt;&lt;url&gt;http://www.sciencedirect.com/science/article/pii/S037842740700968X&lt;/url&gt;&lt;/related-urls&gt;&lt;/urls&gt;&lt;electronic-resource-num&gt;http://dx.doi.org/10.1016/j.toxlet.2007.09.013&lt;/electronic-resource-num&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18" w:tooltip="Hasegawa, 2007 #32" w:history="1">
        <w:r w:rsidRPr="00B643C1">
          <w:rPr>
            <w:rFonts w:ascii="Times New Roman" w:hAnsi="Times New Roman"/>
            <w:noProof/>
            <w:sz w:val="20"/>
            <w:szCs w:val="20"/>
            <w:lang w:val="en-GB"/>
          </w:rPr>
          <w:t>18</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Some electrochemical sensors based on deoxyribonucleic acid (DNA) have been developed to detect acrylamide </w:t>
      </w:r>
      <w:r w:rsidRPr="00B643C1">
        <w:rPr>
          <w:rFonts w:ascii="Times New Roman" w:hAnsi="Times New Roman"/>
          <w:sz w:val="20"/>
          <w:szCs w:val="20"/>
          <w:lang w:val="en-GB"/>
        </w:rPr>
        <w:fldChar w:fldCharType="begin">
          <w:fldData xml:space="preserve">PEVuZE5vdGU+PENpdGU+PEF1dGhvcj5RaXU8L0F1dGhvcj48WWVhcj4yMDExPC9ZZWFyPjxSZWNO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</w:fldData>
        </w:fldChar>
      </w:r>
      <w:r w:rsidRPr="00B643C1">
        <w:rPr>
          <w:rFonts w:ascii="Times New Roman" w:hAnsi="Times New Roman"/>
          <w:sz w:val="20"/>
          <w:szCs w:val="20"/>
          <w:lang w:val="en-GB"/>
        </w:rPr>
        <w:instrText xml:space="preserve"> ADDIN EN.CITE </w:instrText>
      </w:r>
      <w:r w:rsidRPr="00B643C1">
        <w:rPr>
          <w:rFonts w:ascii="Times New Roman" w:hAnsi="Times New Roman"/>
          <w:sz w:val="20"/>
          <w:szCs w:val="20"/>
          <w:lang w:val="en-GB"/>
        </w:rPr>
        <w:fldChar w:fldCharType="begin">
          <w:fldData xml:space="preserve">PEVuZE5vdGU+PENpdGU+PEF1dGhvcj5RaXU8L0F1dGhvcj48WWVhcj4yMDExPC9ZZWFyPjxSZWNO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</w:fldData>
        </w:fldChar>
      </w:r>
      <w:r w:rsidRPr="00B643C1">
        <w:rPr>
          <w:rFonts w:ascii="Times New Roman" w:hAnsi="Times New Roman"/>
          <w:sz w:val="20"/>
          <w:szCs w:val="20"/>
          <w:lang w:val="en-GB"/>
        </w:rPr>
        <w:instrText xml:space="preserve"> ADDIN EN.CITE.DATA </w:instrText>
      </w:r>
      <w:r w:rsidRPr="00B643C1">
        <w:rPr>
          <w:rFonts w:ascii="Times New Roman" w:hAnsi="Times New Roman"/>
          <w:sz w:val="20"/>
          <w:szCs w:val="20"/>
          <w:lang w:val="en-GB"/>
        </w:rPr>
      </w:r>
      <w:r w:rsidRPr="00B643C1">
        <w:rPr>
          <w:rFonts w:ascii="Times New Roman" w:hAnsi="Times New Roman"/>
          <w:sz w:val="20"/>
          <w:szCs w:val="20"/>
          <w:lang w:val="en-GB"/>
        </w:rPr>
        <w:fldChar w:fldCharType="end"/>
      </w:r>
      <w:r w:rsidRPr="00B643C1">
        <w:rPr>
          <w:rFonts w:ascii="Times New Roman" w:hAnsi="Times New Roman"/>
          <w:sz w:val="20"/>
          <w:szCs w:val="20"/>
          <w:lang w:val="en-GB"/>
        </w:rPr>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19" w:tooltip="Qiu, 2011 #99" w:history="1">
        <w:r w:rsidRPr="00B643C1">
          <w:rPr>
            <w:rFonts w:ascii="Times New Roman" w:hAnsi="Times New Roman"/>
            <w:noProof/>
            <w:sz w:val="20"/>
            <w:szCs w:val="20"/>
            <w:lang w:val="en-GB"/>
          </w:rPr>
          <w:t>19</w:t>
        </w:r>
      </w:hyperlink>
      <w:r w:rsidRPr="00B643C1">
        <w:rPr>
          <w:rFonts w:ascii="Times New Roman" w:hAnsi="Times New Roman"/>
          <w:noProof/>
          <w:sz w:val="20"/>
          <w:szCs w:val="20"/>
          <w:lang w:val="en-GB"/>
        </w:rPr>
        <w:t xml:space="preserve">, </w:t>
      </w:r>
      <w:hyperlink w:anchor="_ENREF_20" w:tooltip="Li, 2014 #100" w:history="1">
        <w:r w:rsidRPr="00B643C1">
          <w:rPr>
            <w:rFonts w:ascii="Times New Roman" w:hAnsi="Times New Roman"/>
            <w:noProof/>
            <w:sz w:val="20"/>
            <w:szCs w:val="20"/>
            <w:lang w:val="en-GB"/>
          </w:rPr>
          <w:t>20</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xml:space="preserve">. These sensors are based on the changes of guanine’s current signal due to the formation of acrylamide adduct with DNA. Besides that, electrochemical characteristics of some living cells are used in the assessment of this cytotoxicity compound. PC-12 cell are immobilised on glassy carbon electrode (GCE) modified with graphene oxide and gold nanoparticles </w:t>
      </w:r>
      <w:r w:rsidRPr="00B643C1">
        <w:rPr>
          <w:rFonts w:ascii="Times New Roman" w:hAnsi="Times New Roman"/>
          <w:sz w:val="20"/>
          <w:szCs w:val="20"/>
          <w:lang w:val="en-GB"/>
        </w:rPr>
        <w:fldChar w:fldCharType="begin"/>
      </w:r>
      <w:r w:rsidRPr="00B643C1">
        <w:rPr>
          <w:rFonts w:ascii="Times New Roman" w:hAnsi="Times New Roman"/>
          <w:sz w:val="20"/>
          <w:szCs w:val="20"/>
          <w:lang w:val="en-GB"/>
        </w:rPr>
        <w:instrText xml:space="preserve"> ADDIN EN.CITE &lt;EndNote&gt;&lt;Cite&gt;&lt;Author&gt;Sun&lt;/Author&gt;&lt;Year&gt;2013&lt;/Year&gt;&lt;RecNum&gt;42&lt;/RecNum&gt;&lt;DisplayText&gt;&lt;style font="Times New Roman" size="10"&gt;[21]&lt;/style&gt;&lt;/DisplayText&gt;&lt;record&gt;&lt;rec-number&gt;42&lt;/rec-number&gt;&lt;foreign-keys&gt;&lt;key app="EN" db-id="p5r5zvptkaxx5sex0dm5szph99d2frr25vss"&gt;42&lt;/key&gt;&lt;/foreign-keys&gt;&lt;ref-type name="Journal Article"&gt;17&lt;/ref-type&gt;&lt;contributors&gt;&lt;authors&gt;&lt;author&gt;Sun, Xiulan&lt;/author&gt;&lt;author&gt;Ji, Jian&lt;/author&gt;&lt;author&gt;Jiang, Donglei&lt;/author&gt;&lt;author&gt;Li, Xiaowei&lt;/author&gt;&lt;author&gt;Zhang, Yinzhi&lt;/author&gt;&lt;author&gt;Li, Zaijun&lt;/author&gt;&lt;author&gt;Wu, Yongning&lt;/author&gt;&lt;/authors&gt;&lt;/contributors&gt;&lt;titles&gt;&lt;title&gt;Development of a novel electrochemical sensor using pheochromocytoma cells and its assessment of acrylamide cytotoxicity&lt;/title&gt;&lt;secondary-title&gt;Biosensors and Bioelectronics&lt;/secondary-title&gt;&lt;/titles&gt;&lt;periodical&gt;&lt;full-title&gt;Biosensors and Bioelectronics&lt;/full-title&gt;&lt;abbr-1&gt;Biosens. Bioelectron.&lt;/abbr-1&gt;&lt;abbr-2&gt;Biosens. Bioelectron.&lt;/abbr-2&gt;&lt;/periodical&gt;&lt;pages&gt;122-126&lt;/pages&gt;&lt;volume&gt;44&lt;/volume&gt;&lt;number&gt;0&lt;/number&gt;&lt;keywords&gt;&lt;keyword&gt;Electrochemical sensor&lt;/keyword&gt;&lt;keyword&gt;PC-12 cell&lt;/keyword&gt;&lt;keyword&gt;Acrylamide&lt;/keyword&gt;&lt;keyword&gt;Gold nanoparticle&lt;/keyword&gt;&lt;keyword&gt;Graphene oxide&lt;/keyword&gt;&lt;/keywords&gt;&lt;dates&gt;&lt;year&gt;2013&lt;/year&gt;&lt;/dates&gt;&lt;isbn&gt;0956-5663&lt;/isbn&gt;&lt;urls&gt;&lt;related-urls&gt;&lt;url&gt;http://www.sciencedirect.com/science/article/pii/S0956566313000341&lt;/url&gt;&lt;/related-urls&gt;&lt;/urls&gt;&lt;electronic-resource-num&gt;http://dx.doi.org/10.1016/j.bios.2013.01.031&lt;/electronic-resource-num&gt;&lt;/record&gt;&lt;/Cite&gt;&lt;/EndNote&gt;</w:instrText>
      </w:r>
      <w:r w:rsidRPr="00B643C1">
        <w:rPr>
          <w:rFonts w:ascii="Times New Roman" w:hAnsi="Times New Roman"/>
          <w:sz w:val="20"/>
          <w:szCs w:val="20"/>
          <w:lang w:val="en-GB"/>
        </w:rPr>
        <w:fldChar w:fldCharType="separate"/>
      </w:r>
      <w:r w:rsidRPr="00B643C1">
        <w:rPr>
          <w:rFonts w:ascii="Times New Roman" w:hAnsi="Times New Roman"/>
          <w:noProof/>
          <w:sz w:val="20"/>
          <w:szCs w:val="20"/>
          <w:lang w:val="en-GB"/>
        </w:rPr>
        <w:t>[</w:t>
      </w:r>
      <w:hyperlink w:anchor="_ENREF_21" w:tooltip="Sun, 2013 #42" w:history="1">
        <w:r w:rsidRPr="00B643C1">
          <w:rPr>
            <w:rFonts w:ascii="Times New Roman" w:hAnsi="Times New Roman"/>
            <w:noProof/>
            <w:sz w:val="20"/>
            <w:szCs w:val="20"/>
            <w:lang w:val="en-GB"/>
          </w:rPr>
          <w:t>21</w:t>
        </w:r>
      </w:hyperlink>
      <w:r w:rsidRPr="00B643C1">
        <w:rPr>
          <w:rFonts w:ascii="Times New Roman" w:hAnsi="Times New Roman"/>
          <w:noProof/>
          <w:sz w:val="20"/>
          <w:szCs w:val="20"/>
          <w:lang w:val="en-GB"/>
        </w:rPr>
        <w:t>]</w:t>
      </w:r>
      <w:r w:rsidRPr="00B643C1">
        <w:rPr>
          <w:rFonts w:ascii="Times New Roman" w:hAnsi="Times New Roman"/>
          <w:sz w:val="20"/>
          <w:szCs w:val="20"/>
          <w:lang w:val="en-GB"/>
        </w:rPr>
        <w:fldChar w:fldCharType="end"/>
      </w:r>
      <w:r w:rsidRPr="00B643C1">
        <w:rPr>
          <w:rFonts w:ascii="Times New Roman" w:hAnsi="Times New Roman"/>
          <w:sz w:val="20"/>
          <w:szCs w:val="20"/>
          <w:lang w:val="en-GB"/>
        </w:rPr>
        <w:t>. With the present of acrylamide, PC-12 cells are stimulated by acrylamide and reduced the peak current. However, the major reported disadvantages of this method were high linear range (in mM) and LOD.</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lastRenderedPageBreak/>
        <w:t xml:space="preserve">To date, the optical acrylamide detection especially colorimetric is yet to be fully explored. Current fluorometric methods for detection of acrylamide still required the polymerization process and are not suitable for </w:t>
      </w:r>
      <w:r w:rsidRPr="00B643C1">
        <w:rPr>
          <w:rFonts w:ascii="Times New Roman" w:hAnsi="Times New Roman"/>
          <w:i/>
          <w:sz w:val="20"/>
          <w:szCs w:val="20"/>
          <w:lang w:val="en-GB"/>
        </w:rPr>
        <w:t>in-situ</w:t>
      </w:r>
      <w:r w:rsidRPr="00B643C1">
        <w:rPr>
          <w:rFonts w:ascii="Times New Roman" w:hAnsi="Times New Roman"/>
          <w:sz w:val="20"/>
          <w:szCs w:val="20"/>
          <w:lang w:val="en-GB"/>
        </w:rPr>
        <w:t xml:space="preserve"> analysis. Therefore, there is a need to develop a new colorimetric method for acrylamide screening.</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Optical determination is the easiest field screening on the presence of acrylamide compound in food samples due to obvious colour changes observed via naked eyes. Based on this reason, it is suitable for </w:t>
      </w:r>
      <w:r w:rsidRPr="00B643C1">
        <w:rPr>
          <w:rFonts w:ascii="Times New Roman" w:hAnsi="Times New Roman"/>
          <w:i/>
          <w:sz w:val="20"/>
          <w:szCs w:val="20"/>
          <w:lang w:val="en-GB"/>
        </w:rPr>
        <w:t>in-situ</w:t>
      </w:r>
      <w:r w:rsidRPr="00B643C1">
        <w:rPr>
          <w:rFonts w:ascii="Times New Roman" w:hAnsi="Times New Roman"/>
          <w:sz w:val="20"/>
          <w:szCs w:val="20"/>
          <w:lang w:val="en-GB"/>
        </w:rPr>
        <w:t xml:space="preserve"> analysis. In this research, acrylamide was hydrolysed to its corresponding salt and ammonia. The level of ammonia produced was determined using Nessler’s reagent to produce mercury (II) amido-iodine complex (yellow colouration) in basic condition. The overall reactions are shown in Equations 1 and 2, respectively.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ind w:firstLine="720"/>
        <w:jc w:val="both"/>
        <w:outlineLvl w:val="0"/>
        <w:rPr>
          <w:rFonts w:ascii="Times New Roman" w:hAnsi="Times New Roman"/>
          <w:sz w:val="20"/>
          <w:szCs w:val="20"/>
          <w:lang w:val="en-GB"/>
        </w:rPr>
      </w:pPr>
      <w:r w:rsidRPr="00B643C1">
        <w:rPr>
          <w:rFonts w:ascii="Times New Roman" w:hAnsi="Times New Roman"/>
          <w:sz w:val="20"/>
          <w:szCs w:val="20"/>
          <w:lang w:val="en-GB"/>
        </w:rPr>
        <w:t>CH</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CHC(O)NH</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 xml:space="preserve"> + NaOH  →   CH</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CHC(O)ONa + NH</w:t>
      </w:r>
      <w:r w:rsidRPr="00B643C1">
        <w:rPr>
          <w:rFonts w:ascii="Times New Roman" w:hAnsi="Times New Roman"/>
          <w:sz w:val="20"/>
          <w:szCs w:val="20"/>
          <w:vertAlign w:val="subscript"/>
          <w:lang w:val="en-GB"/>
        </w:rPr>
        <w:t>3</w:t>
      </w:r>
      <w:r w:rsidRPr="00B643C1">
        <w:rPr>
          <w:rFonts w:ascii="Times New Roman" w:hAnsi="Times New Roman"/>
          <w:sz w:val="20"/>
          <w:szCs w:val="20"/>
          <w:lang w:val="en-GB"/>
        </w:rPr>
        <w:tab/>
      </w:r>
      <w:r w:rsidRPr="00B643C1">
        <w:rPr>
          <w:rFonts w:ascii="Times New Roman" w:hAnsi="Times New Roman"/>
          <w:sz w:val="20"/>
          <w:szCs w:val="20"/>
          <w:lang w:val="en-GB"/>
        </w:rPr>
        <w:tab/>
      </w:r>
      <w:r w:rsidRPr="00B643C1">
        <w:rPr>
          <w:rFonts w:ascii="Times New Roman" w:hAnsi="Times New Roman"/>
          <w:sz w:val="20"/>
          <w:szCs w:val="20"/>
          <w:lang w:val="en-GB"/>
        </w:rPr>
        <w:tab/>
      </w:r>
      <w:r w:rsidRPr="00B643C1">
        <w:rPr>
          <w:rFonts w:ascii="Times New Roman" w:hAnsi="Times New Roman"/>
          <w:sz w:val="20"/>
          <w:szCs w:val="20"/>
          <w:lang w:val="en-GB"/>
        </w:rPr>
        <w:tab/>
      </w:r>
      <w:r w:rsidRPr="00B643C1">
        <w:rPr>
          <w:rFonts w:ascii="Times New Roman" w:hAnsi="Times New Roman"/>
          <w:sz w:val="20"/>
          <w:szCs w:val="20"/>
          <w:lang w:val="en-GB"/>
        </w:rPr>
        <w:tab/>
        <w:t xml:space="preserve">  </w:t>
      </w:r>
      <w:r>
        <w:rPr>
          <w:rFonts w:ascii="Times New Roman" w:hAnsi="Times New Roman"/>
          <w:sz w:val="20"/>
          <w:szCs w:val="20"/>
          <w:lang w:val="en-GB"/>
        </w:rPr>
        <w:t xml:space="preserve">      </w:t>
      </w:r>
      <w:r w:rsidRPr="00B643C1">
        <w:rPr>
          <w:rFonts w:ascii="Times New Roman" w:hAnsi="Times New Roman"/>
          <w:sz w:val="20"/>
          <w:szCs w:val="20"/>
          <w:lang w:val="en-GB"/>
        </w:rPr>
        <w:t xml:space="preserve"> (1)</w:t>
      </w:r>
    </w:p>
    <w:p w:rsidR="00B643C1" w:rsidRPr="00B643C1" w:rsidRDefault="00B643C1" w:rsidP="00B643C1">
      <w:pPr>
        <w:spacing w:after="0" w:line="240" w:lineRule="auto"/>
        <w:ind w:firstLine="720"/>
        <w:jc w:val="both"/>
        <w:outlineLvl w:val="0"/>
        <w:rPr>
          <w:rFonts w:ascii="Times New Roman" w:hAnsi="Times New Roman"/>
          <w:sz w:val="20"/>
          <w:szCs w:val="20"/>
          <w:lang w:val="en-GB"/>
        </w:rPr>
      </w:pPr>
    </w:p>
    <w:p w:rsidR="00B643C1" w:rsidRPr="00B643C1" w:rsidRDefault="00B643C1" w:rsidP="00B643C1">
      <w:pPr>
        <w:spacing w:after="0" w:line="240" w:lineRule="auto"/>
        <w:ind w:firstLine="720"/>
        <w:jc w:val="both"/>
        <w:outlineLvl w:val="0"/>
        <w:rPr>
          <w:rFonts w:ascii="Times New Roman" w:hAnsi="Times New Roman"/>
          <w:sz w:val="20"/>
          <w:szCs w:val="20"/>
          <w:lang w:val="en-GB"/>
        </w:rPr>
      </w:pPr>
      <w:r w:rsidRPr="00B643C1">
        <w:rPr>
          <w:rFonts w:ascii="Times New Roman" w:hAnsi="Times New Roman"/>
          <w:sz w:val="20"/>
          <w:szCs w:val="20"/>
          <w:lang w:val="en-GB"/>
        </w:rPr>
        <w:t>2(HgI</w:t>
      </w:r>
      <w:r w:rsidRPr="00B643C1">
        <w:rPr>
          <w:rFonts w:ascii="Times New Roman" w:hAnsi="Times New Roman"/>
          <w:sz w:val="20"/>
          <w:szCs w:val="20"/>
          <w:vertAlign w:val="subscript"/>
          <w:lang w:val="en-GB"/>
        </w:rPr>
        <w:t>4</w:t>
      </w:r>
      <w:r w:rsidRPr="00B643C1">
        <w:rPr>
          <w:rFonts w:ascii="Times New Roman" w:hAnsi="Times New Roman"/>
          <w:sz w:val="20"/>
          <w:szCs w:val="20"/>
          <w:lang w:val="en-GB"/>
        </w:rPr>
        <w:t>)</w:t>
      </w:r>
      <w:r w:rsidRPr="00B643C1">
        <w:rPr>
          <w:rFonts w:ascii="Times New Roman" w:hAnsi="Times New Roman"/>
          <w:sz w:val="20"/>
          <w:szCs w:val="20"/>
          <w:vertAlign w:val="superscript"/>
          <w:lang w:val="en-GB"/>
        </w:rPr>
        <w:t>2-</w:t>
      </w:r>
      <w:r w:rsidRPr="00B643C1">
        <w:rPr>
          <w:rFonts w:ascii="Times New Roman" w:hAnsi="Times New Roman"/>
          <w:sz w:val="20"/>
          <w:szCs w:val="20"/>
          <w:lang w:val="en-GB"/>
        </w:rPr>
        <w:t xml:space="preserve"> + NH</w:t>
      </w:r>
      <w:r w:rsidRPr="00B643C1">
        <w:rPr>
          <w:rFonts w:ascii="Times New Roman" w:hAnsi="Times New Roman"/>
          <w:sz w:val="20"/>
          <w:szCs w:val="20"/>
          <w:vertAlign w:val="subscript"/>
          <w:lang w:val="en-GB"/>
        </w:rPr>
        <w:t>3</w:t>
      </w:r>
      <w:r w:rsidRPr="00B643C1">
        <w:rPr>
          <w:rFonts w:ascii="Times New Roman" w:hAnsi="Times New Roman"/>
          <w:sz w:val="20"/>
          <w:szCs w:val="20"/>
          <w:lang w:val="en-GB"/>
        </w:rPr>
        <w:t xml:space="preserve"> + 3OH</w:t>
      </w:r>
      <w:r w:rsidRPr="00B643C1">
        <w:rPr>
          <w:rFonts w:ascii="Times New Roman" w:hAnsi="Times New Roman"/>
          <w:sz w:val="20"/>
          <w:szCs w:val="20"/>
          <w:vertAlign w:val="superscript"/>
          <w:lang w:val="en-GB"/>
        </w:rPr>
        <w:t>-</w:t>
      </w:r>
      <w:r w:rsidRPr="00B643C1">
        <w:rPr>
          <w:rFonts w:ascii="Times New Roman" w:hAnsi="Times New Roman"/>
          <w:sz w:val="20"/>
          <w:szCs w:val="20"/>
          <w:lang w:val="en-GB"/>
        </w:rPr>
        <w:t xml:space="preserve">     →HgO.Hg(NH</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)I + 7I</w:t>
      </w:r>
      <w:r w:rsidRPr="00B643C1">
        <w:rPr>
          <w:rFonts w:ascii="Times New Roman" w:hAnsi="Times New Roman"/>
          <w:sz w:val="20"/>
          <w:szCs w:val="20"/>
          <w:vertAlign w:val="superscript"/>
          <w:lang w:val="en-GB"/>
        </w:rPr>
        <w:t>-</w:t>
      </w:r>
      <w:r w:rsidRPr="00B643C1">
        <w:rPr>
          <w:rFonts w:ascii="Times New Roman" w:hAnsi="Times New Roman"/>
          <w:sz w:val="20"/>
          <w:szCs w:val="20"/>
          <w:lang w:val="en-GB"/>
        </w:rPr>
        <w:t xml:space="preserve"> + 3H</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O</w:t>
      </w:r>
      <w:r w:rsidRPr="00B643C1">
        <w:rPr>
          <w:rFonts w:ascii="Times New Roman" w:hAnsi="Times New Roman"/>
          <w:sz w:val="20"/>
          <w:szCs w:val="20"/>
          <w:lang w:val="en-GB"/>
        </w:rPr>
        <w:tab/>
      </w:r>
      <w:r w:rsidRPr="00B643C1">
        <w:rPr>
          <w:rFonts w:ascii="Times New Roman" w:hAnsi="Times New Roman"/>
          <w:sz w:val="20"/>
          <w:szCs w:val="20"/>
          <w:lang w:val="en-GB"/>
        </w:rPr>
        <w:tab/>
      </w:r>
      <w:r w:rsidRPr="00B643C1">
        <w:rPr>
          <w:rFonts w:ascii="Times New Roman" w:hAnsi="Times New Roman"/>
          <w:sz w:val="20"/>
          <w:szCs w:val="20"/>
          <w:lang w:val="en-GB"/>
        </w:rPr>
        <w:tab/>
      </w:r>
      <w:r w:rsidRPr="00B643C1">
        <w:rPr>
          <w:rFonts w:ascii="Times New Roman" w:hAnsi="Times New Roman"/>
          <w:sz w:val="20"/>
          <w:szCs w:val="20"/>
          <w:lang w:val="en-GB"/>
        </w:rPr>
        <w:tab/>
        <w:t xml:space="preserve">                 </w:t>
      </w:r>
      <w:r>
        <w:rPr>
          <w:rFonts w:ascii="Times New Roman" w:hAnsi="Times New Roman"/>
          <w:sz w:val="20"/>
          <w:szCs w:val="20"/>
          <w:lang w:val="en-GB"/>
        </w:rPr>
        <w:t xml:space="preserve">      </w:t>
      </w:r>
      <w:r w:rsidRPr="00B643C1">
        <w:rPr>
          <w:rFonts w:ascii="Times New Roman" w:hAnsi="Times New Roman"/>
          <w:sz w:val="20"/>
          <w:szCs w:val="20"/>
          <w:lang w:val="en-GB"/>
        </w:rPr>
        <w:t>(2)</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The aim of this research is to explore a new optical method in quantifying the level of acrylamide in food sample.</w:t>
      </w:r>
    </w:p>
    <w:p w:rsidR="00B643C1" w:rsidRPr="00B643C1" w:rsidRDefault="00B643C1" w:rsidP="00B643C1">
      <w:pPr>
        <w:spacing w:after="0" w:line="240" w:lineRule="auto"/>
        <w:jc w:val="center"/>
        <w:outlineLvl w:val="0"/>
        <w:rPr>
          <w:rFonts w:ascii="Times New Roman" w:hAnsi="Times New Roman"/>
          <w:sz w:val="20"/>
          <w:szCs w:val="20"/>
          <w:lang w:val="en-GB"/>
        </w:rPr>
      </w:pPr>
    </w:p>
    <w:p w:rsidR="00B643C1" w:rsidRPr="00B643C1" w:rsidRDefault="00B643C1" w:rsidP="00B643C1">
      <w:pPr>
        <w:spacing w:after="0" w:line="240" w:lineRule="auto"/>
        <w:jc w:val="center"/>
        <w:outlineLvl w:val="0"/>
        <w:rPr>
          <w:rFonts w:ascii="Times New Roman" w:hAnsi="Times New Roman"/>
          <w:b/>
          <w:sz w:val="20"/>
          <w:szCs w:val="20"/>
          <w:lang w:val="en-GB"/>
        </w:rPr>
      </w:pPr>
      <w:r w:rsidRPr="00B643C1">
        <w:rPr>
          <w:rFonts w:ascii="Times New Roman" w:hAnsi="Times New Roman"/>
          <w:b/>
          <w:sz w:val="20"/>
          <w:szCs w:val="20"/>
          <w:lang w:val="en-GB"/>
        </w:rPr>
        <w:t>Materials and Methods</w:t>
      </w:r>
    </w:p>
    <w:p w:rsidR="00B643C1" w:rsidRPr="00B643C1" w:rsidRDefault="00B643C1" w:rsidP="00B643C1">
      <w:pPr>
        <w:spacing w:after="0" w:line="240" w:lineRule="auto"/>
        <w:jc w:val="both"/>
        <w:outlineLvl w:val="0"/>
        <w:rPr>
          <w:rFonts w:ascii="Times New Roman" w:hAnsi="Times New Roman"/>
          <w:b/>
          <w:sz w:val="20"/>
          <w:szCs w:val="20"/>
          <w:lang w:val="en-GB"/>
        </w:rPr>
      </w:pPr>
      <w:r w:rsidRPr="00B643C1">
        <w:rPr>
          <w:rFonts w:ascii="Times New Roman" w:hAnsi="Times New Roman"/>
          <w:b/>
          <w:sz w:val="20"/>
          <w:szCs w:val="20"/>
          <w:lang w:val="en-GB"/>
        </w:rPr>
        <w:t xml:space="preserve">Chemical and instrumentation </w:t>
      </w: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Acrylamide 99% and ammonium chloride (NH</w:t>
      </w:r>
      <w:r w:rsidRPr="00B643C1">
        <w:rPr>
          <w:rFonts w:ascii="Times New Roman" w:hAnsi="Times New Roman"/>
          <w:sz w:val="20"/>
          <w:szCs w:val="20"/>
          <w:vertAlign w:val="subscript"/>
          <w:lang w:val="en-GB"/>
        </w:rPr>
        <w:t>4</w:t>
      </w:r>
      <w:r w:rsidRPr="00B643C1">
        <w:rPr>
          <w:rFonts w:ascii="Times New Roman" w:hAnsi="Times New Roman"/>
          <w:sz w:val="20"/>
          <w:szCs w:val="20"/>
          <w:lang w:val="en-GB"/>
        </w:rPr>
        <w:t>Cl) 99.5% were supplied by Sigma. Mercury (II) iodine 99% (HgI</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 was obtained from BDH. Potassium iodide (KI) 99.5%, sodium hydroxide (NaOH) 99%, and potassium chloride (KCl) 99% were purchased from Systerm. Calcium chloride (CaCl</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 95% was supplied by HmbG Chemicals. Sodium chloride (NaCl) 99% and iron (II) chloride hexahydrate (FeCl</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.6H</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O) 99% were obtained from Acros. Varian Cary-50 was used for all absorbance measurements.</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b/>
          <w:sz w:val="20"/>
          <w:szCs w:val="20"/>
          <w:lang w:val="en-GB"/>
        </w:rPr>
      </w:pPr>
      <w:r w:rsidRPr="00B643C1">
        <w:rPr>
          <w:rFonts w:ascii="Times New Roman" w:hAnsi="Times New Roman"/>
          <w:b/>
          <w:sz w:val="20"/>
          <w:szCs w:val="20"/>
          <w:lang w:val="en-GB"/>
        </w:rPr>
        <w:t>Characterisation of base hydrolysis process towards acrylamide</w:t>
      </w: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The condition for base hydrolysis process of acrylamide was optimised in terms of concentration of base used and time taken for hydrolysis. Acrylamide stock solution (100 ppm) was prepared by dissolving 0.01 g acrylamide powder in deionised water inside a volumetric flask and topped to 100 mL. Lower concentrations of acrylamide solutions were prepared by appropriate dilutions from stock solution.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The optimum molarity of base needed was tested by injecting 2 mL acrylamide solution (5 ppm) into various concentrations of NaOH (0-8 M), leaving the mixture for 15 minutes. Then, the Nessler’s reagent was added into the hydrolysed acrylamide solution to form yellow complex called mercury (II) amido-iodine. In this study, 2 mL of hydrolysed acrylamide solution was added with 985 µL water and 40 µL of Nessler’s reagent. The absorbance of the complex was obtained using UV-Vis spectrophotometer at the wavelength of 420 nm. As for the control, same protocols were repeated using water in substitution for acrylamide solution.</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The hydrolysis of 2 mL acrylamide solution (5 ppm) injected with 6 M NaOH at different time were recorded. Next, the Nessler’s reagent was added into hydrolysed acrylamide solution and the absorbance was measured.</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b/>
          <w:sz w:val="20"/>
          <w:szCs w:val="20"/>
          <w:lang w:val="en-GB"/>
        </w:rPr>
      </w:pPr>
      <w:r w:rsidRPr="00B643C1">
        <w:rPr>
          <w:rFonts w:ascii="Times New Roman" w:hAnsi="Times New Roman"/>
          <w:b/>
          <w:sz w:val="20"/>
          <w:szCs w:val="20"/>
          <w:lang w:val="en-GB"/>
        </w:rPr>
        <w:t xml:space="preserve">Concentration optimisation of Nessler’s reagent </w:t>
      </w: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The concentration of Nessler’s reagent used in the solution was optimised. The formation of Nessler’s complex was tested using various ratios of HgI</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 xml:space="preserve"> to KI. Sonication was applied to homogenise the solution during solution preparation. As the optimum ratio of HgI</w:t>
      </w:r>
      <w:r w:rsidRPr="00B643C1">
        <w:rPr>
          <w:rFonts w:ascii="Times New Roman" w:hAnsi="Times New Roman"/>
          <w:sz w:val="20"/>
          <w:szCs w:val="20"/>
          <w:vertAlign w:val="subscript"/>
          <w:lang w:val="en-GB"/>
        </w:rPr>
        <w:t>2</w:t>
      </w:r>
      <w:r w:rsidRPr="00B643C1">
        <w:rPr>
          <w:rFonts w:ascii="Times New Roman" w:hAnsi="Times New Roman"/>
          <w:sz w:val="20"/>
          <w:szCs w:val="20"/>
          <w:lang w:val="en-GB"/>
        </w:rPr>
        <w:t xml:space="preserve"> and KI was obtained to form Nessler’s complex, the optimum concentration of Nessler’s reagent was determined by adding different concentrations of Nessler’s reagent into the hydrolysed acrylamide solution. The absorbance of mercury(II) amido-iodine complex was measured using UV-Vis spectrophotometer.</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b/>
          <w:sz w:val="20"/>
          <w:szCs w:val="20"/>
          <w:lang w:val="en-GB"/>
        </w:rPr>
      </w:pPr>
      <w:r w:rsidRPr="00B643C1">
        <w:rPr>
          <w:rFonts w:ascii="Times New Roman" w:hAnsi="Times New Roman"/>
          <w:b/>
          <w:sz w:val="20"/>
          <w:szCs w:val="20"/>
          <w:lang w:val="en-GB"/>
        </w:rPr>
        <w:t>Quantitative determination of acrylamide in solution</w:t>
      </w: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The reproducibility of this method was studied using eight different samples (same concentration of analyte and reagent). The absorbance value of mercury(II) amido-iodine complex was determined using UV-Vis spectrophotometer. The concentrations of acrylamide tested were 2 and 4 ppm.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lastRenderedPageBreak/>
        <w:t xml:space="preserve">The dynamic range was studied to determine the range of concentration for acrylamide which fulfil the Beer’s law. Acrylamide solution was hydrolysed using 6.0 M NaOH for 10 minutes. The ammonia produced was determined using 3.0 mM Nessler’s reagent and left for 5 minutes for the formation of mercury(II) amido-iodide complex. The absorbance of the complex was measured using UV-Vis spectrophotometer at the wavelength of 420 nm. The concentrations of acrylamide tested were 0–30 ppm. </w:t>
      </w:r>
    </w:p>
    <w:p w:rsidR="00B643C1" w:rsidRPr="00B643C1" w:rsidRDefault="00B643C1" w:rsidP="00B643C1">
      <w:pPr>
        <w:spacing w:after="0" w:line="240" w:lineRule="auto"/>
        <w:jc w:val="both"/>
        <w:outlineLvl w:val="0"/>
        <w:rPr>
          <w:rFonts w:ascii="Times New Roman" w:hAnsi="Times New Roman"/>
          <w:sz w:val="20"/>
          <w:szCs w:val="20"/>
          <w:lang w:val="en-GB"/>
        </w:rPr>
      </w:pP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The effects of some interference cations such as Na</w:t>
      </w:r>
      <w:r w:rsidRPr="00B643C1">
        <w:rPr>
          <w:rFonts w:ascii="Times New Roman" w:hAnsi="Times New Roman"/>
          <w:sz w:val="20"/>
          <w:szCs w:val="20"/>
          <w:vertAlign w:val="superscript"/>
          <w:lang w:val="en-GB"/>
        </w:rPr>
        <w:t>+</w:t>
      </w:r>
      <w:r w:rsidRPr="00B643C1">
        <w:rPr>
          <w:rFonts w:ascii="Times New Roman" w:hAnsi="Times New Roman"/>
          <w:sz w:val="20"/>
          <w:szCs w:val="20"/>
          <w:lang w:val="en-GB"/>
        </w:rPr>
        <w:t>, K</w:t>
      </w:r>
      <w:r w:rsidRPr="00B643C1">
        <w:rPr>
          <w:rFonts w:ascii="Times New Roman" w:hAnsi="Times New Roman"/>
          <w:sz w:val="20"/>
          <w:szCs w:val="20"/>
          <w:vertAlign w:val="superscript"/>
          <w:lang w:val="en-GB"/>
        </w:rPr>
        <w:t>+</w:t>
      </w:r>
      <w:r w:rsidRPr="00B643C1">
        <w:rPr>
          <w:rFonts w:ascii="Times New Roman" w:hAnsi="Times New Roman"/>
          <w:sz w:val="20"/>
          <w:szCs w:val="20"/>
          <w:lang w:val="en-GB"/>
        </w:rPr>
        <w:t>, Ca</w:t>
      </w:r>
      <w:r w:rsidRPr="00B643C1">
        <w:rPr>
          <w:rFonts w:ascii="Times New Roman" w:hAnsi="Times New Roman"/>
          <w:sz w:val="20"/>
          <w:szCs w:val="20"/>
          <w:vertAlign w:val="superscript"/>
          <w:lang w:val="en-GB"/>
        </w:rPr>
        <w:t>2+</w:t>
      </w:r>
      <w:r w:rsidRPr="00B643C1">
        <w:rPr>
          <w:rFonts w:ascii="Times New Roman" w:hAnsi="Times New Roman"/>
          <w:sz w:val="20"/>
          <w:szCs w:val="20"/>
          <w:lang w:val="en-GB"/>
        </w:rPr>
        <w:t>, Fe</w:t>
      </w:r>
      <w:r w:rsidRPr="00B643C1">
        <w:rPr>
          <w:rFonts w:ascii="Times New Roman" w:hAnsi="Times New Roman"/>
          <w:sz w:val="20"/>
          <w:szCs w:val="20"/>
          <w:vertAlign w:val="superscript"/>
          <w:lang w:val="en-GB"/>
        </w:rPr>
        <w:t>2+</w:t>
      </w:r>
      <w:r w:rsidRPr="00B643C1">
        <w:rPr>
          <w:rFonts w:ascii="Times New Roman" w:hAnsi="Times New Roman"/>
          <w:sz w:val="20"/>
          <w:szCs w:val="20"/>
          <w:lang w:val="en-GB"/>
        </w:rPr>
        <w:t>, and NH</w:t>
      </w:r>
      <w:r w:rsidRPr="00B643C1">
        <w:rPr>
          <w:rFonts w:ascii="Times New Roman" w:hAnsi="Times New Roman"/>
          <w:sz w:val="20"/>
          <w:szCs w:val="20"/>
          <w:vertAlign w:val="subscript"/>
          <w:lang w:val="en-GB"/>
        </w:rPr>
        <w:t>3</w:t>
      </w:r>
      <w:r w:rsidRPr="00B643C1">
        <w:rPr>
          <w:rFonts w:ascii="Times New Roman" w:hAnsi="Times New Roman"/>
          <w:sz w:val="20"/>
          <w:szCs w:val="20"/>
          <w:lang w:val="en-GB"/>
        </w:rPr>
        <w:t xml:space="preserve"> present in acrylamide solution were also studied. The relative ratios of acrylamide solutions (without and with interference ions) were determined to study the effects and levels of interference. The effects of interference were determined based on the differences in absorbance values obtained from pure acrylamide solution and the acrylamide solution containing interference ions. If the difference is more than 10%, therefore the presence of interference ions is considered to affect the system.</w:t>
      </w:r>
    </w:p>
    <w:p w:rsidR="006768E9" w:rsidRPr="00F447A7" w:rsidRDefault="006768E9" w:rsidP="00B643C1">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b/>
          <w:sz w:val="20"/>
          <w:szCs w:val="20"/>
          <w:lang w:val="en-GB"/>
        </w:rPr>
        <w:t>Characterisation of base hydrolysis process towards acrylamide</w:t>
      </w:r>
    </w:p>
    <w:p w:rsidR="00B643C1" w:rsidRPr="00B643C1"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In this study, NaOH serves two purposes, as the catalyst for base hydrolysis and to create a basic condition for the formation of mercury(II) amido-iodine complex as shown in Equations 1 and 2. Acrylamide, as a primer amide undergoes hydrolysis in basic condition. As shown in</w:t>
      </w:r>
      <w:r w:rsidR="00F26AB7">
        <w:rPr>
          <w:rFonts w:ascii="Times New Roman" w:hAnsi="Times New Roman"/>
          <w:sz w:val="20"/>
          <w:szCs w:val="20"/>
          <w:lang w:val="en-GB"/>
        </w:rPr>
        <w:t xml:space="preserve"> Figure 1</w:t>
      </w:r>
      <w:r w:rsidRPr="00B643C1">
        <w:rPr>
          <w:rFonts w:ascii="Times New Roman" w:hAnsi="Times New Roman"/>
          <w:sz w:val="20"/>
          <w:szCs w:val="20"/>
          <w:lang w:val="en-GB"/>
        </w:rPr>
        <w:t xml:space="preserve">, 6.0 M of NaOH is needed to hydrolyse acrylamide solution since acrylamide is a stable acid derivative group and requires stronger condition to hydrolyse. </w:t>
      </w:r>
      <w:r w:rsidR="00F26AB7">
        <w:rPr>
          <w:rFonts w:ascii="Times New Roman" w:hAnsi="Times New Roman"/>
          <w:sz w:val="20"/>
          <w:szCs w:val="20"/>
          <w:lang w:val="en-GB"/>
        </w:rPr>
        <w:t xml:space="preserve">Figure 2 </w:t>
      </w:r>
      <w:r w:rsidRPr="00B643C1">
        <w:rPr>
          <w:rFonts w:ascii="Times New Roman" w:hAnsi="Times New Roman"/>
          <w:sz w:val="20"/>
          <w:szCs w:val="20"/>
          <w:lang w:val="en-GB"/>
        </w:rPr>
        <w:t>shows the completed base hydrolysis process of acrylamide in solution after 10 minutes.</w:t>
      </w:r>
    </w:p>
    <w:p w:rsidR="00B643C1" w:rsidRPr="00B643C1" w:rsidRDefault="00B643C1" w:rsidP="00012480">
      <w:pPr>
        <w:spacing w:after="0" w:line="240" w:lineRule="auto"/>
        <w:jc w:val="both"/>
        <w:outlineLvl w:val="0"/>
        <w:rPr>
          <w:rFonts w:ascii="Times New Roman" w:hAnsi="Times New Roman"/>
          <w:sz w:val="20"/>
          <w:szCs w:val="20"/>
          <w:lang w:val="en-GB"/>
        </w:rPr>
      </w:pPr>
    </w:p>
    <w:p w:rsidR="00B643C1" w:rsidRPr="00B643C1" w:rsidRDefault="00B643C1" w:rsidP="00B643C1">
      <w:pPr>
        <w:spacing w:after="120" w:line="240" w:lineRule="auto"/>
        <w:jc w:val="center"/>
        <w:outlineLvl w:val="0"/>
        <w:rPr>
          <w:rFonts w:ascii="Times New Roman" w:hAnsi="Times New Roman"/>
          <w:sz w:val="20"/>
          <w:szCs w:val="20"/>
          <w:lang w:val="en-GB"/>
        </w:rPr>
      </w:pPr>
      <w:r w:rsidRPr="00B643C1">
        <w:rPr>
          <w:rFonts w:ascii="Times New Roman" w:hAnsi="Times New Roman"/>
          <w:noProof/>
          <w:sz w:val="20"/>
          <w:szCs w:val="20"/>
          <w:lang w:bidi="ar-SA"/>
        </w:rPr>
        <w:drawing>
          <wp:inline distT="0" distB="0" distL="0" distR="0" wp14:anchorId="3B855085" wp14:editId="046EC859">
            <wp:extent cx="3600000" cy="2160000"/>
            <wp:effectExtent l="0" t="0" r="635"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643C1" w:rsidRPr="00B643C1" w:rsidRDefault="00B643C1" w:rsidP="00B643C1">
      <w:pPr>
        <w:pStyle w:val="Caption"/>
        <w:wordWrap/>
        <w:spacing w:after="0"/>
        <w:ind w:left="900" w:hanging="900"/>
        <w:rPr>
          <w:rFonts w:ascii="Times New Roman" w:hAnsi="Times New Roman" w:cs="Times New Roman"/>
          <w:b w:val="0"/>
          <w:color w:val="auto"/>
          <w:sz w:val="20"/>
          <w:szCs w:val="20"/>
          <w:lang w:val="en-GB"/>
        </w:rPr>
      </w:pPr>
      <w:bookmarkStart w:id="1" w:name="_Ref511807970"/>
      <w:r w:rsidRPr="00B643C1">
        <w:rPr>
          <w:rFonts w:ascii="Times New Roman" w:hAnsi="Times New Roman" w:cs="Times New Roman"/>
          <w:b w:val="0"/>
          <w:color w:val="auto"/>
          <w:sz w:val="20"/>
          <w:szCs w:val="20"/>
          <w:lang w:val="en-GB"/>
        </w:rPr>
        <w:t xml:space="preserve">Figure </w:t>
      </w:r>
      <w:r w:rsidRPr="00B643C1">
        <w:rPr>
          <w:rFonts w:ascii="Times New Roman" w:hAnsi="Times New Roman" w:cs="Times New Roman"/>
          <w:b w:val="0"/>
          <w:color w:val="auto"/>
          <w:sz w:val="20"/>
          <w:szCs w:val="20"/>
          <w:lang w:val="en-GB"/>
        </w:rPr>
        <w:fldChar w:fldCharType="begin"/>
      </w:r>
      <w:r w:rsidRPr="00B643C1">
        <w:rPr>
          <w:rFonts w:ascii="Times New Roman" w:hAnsi="Times New Roman" w:cs="Times New Roman"/>
          <w:b w:val="0"/>
          <w:color w:val="auto"/>
          <w:sz w:val="20"/>
          <w:szCs w:val="20"/>
          <w:lang w:val="en-GB"/>
        </w:rPr>
        <w:instrText xml:space="preserve"> SEQ Figure \* ARABIC </w:instrText>
      </w:r>
      <w:r w:rsidRPr="00B643C1">
        <w:rPr>
          <w:rFonts w:ascii="Times New Roman" w:hAnsi="Times New Roman" w:cs="Times New Roman"/>
          <w:b w:val="0"/>
          <w:color w:val="auto"/>
          <w:sz w:val="20"/>
          <w:szCs w:val="20"/>
          <w:lang w:val="en-GB"/>
        </w:rPr>
        <w:fldChar w:fldCharType="separate"/>
      </w:r>
      <w:r w:rsidR="000321C2">
        <w:rPr>
          <w:rFonts w:ascii="Times New Roman" w:hAnsi="Times New Roman" w:cs="Times New Roman"/>
          <w:b w:val="0"/>
          <w:noProof/>
          <w:color w:val="auto"/>
          <w:sz w:val="20"/>
          <w:szCs w:val="20"/>
          <w:lang w:val="en-GB"/>
        </w:rPr>
        <w:t>1</w:t>
      </w:r>
      <w:r w:rsidRPr="00B643C1">
        <w:rPr>
          <w:rFonts w:ascii="Times New Roman" w:hAnsi="Times New Roman" w:cs="Times New Roman"/>
          <w:b w:val="0"/>
          <w:color w:val="auto"/>
          <w:sz w:val="20"/>
          <w:szCs w:val="20"/>
          <w:lang w:val="en-GB"/>
        </w:rPr>
        <w:fldChar w:fldCharType="end"/>
      </w:r>
      <w:bookmarkEnd w:id="1"/>
      <w:r w:rsidRPr="00B643C1">
        <w:rPr>
          <w:rFonts w:ascii="Times New Roman" w:hAnsi="Times New Roman" w:cs="Times New Roman"/>
          <w:b w:val="0"/>
          <w:color w:val="auto"/>
          <w:sz w:val="20"/>
          <w:szCs w:val="20"/>
          <w:lang w:val="en-GB"/>
        </w:rPr>
        <w:t>. Absorbance of mercury(II) amido-iodine formed after acrylamide being hydrolysed by various concentration of NaOH</w:t>
      </w:r>
    </w:p>
    <w:p w:rsidR="00B643C1" w:rsidRPr="00B643C1" w:rsidRDefault="00B643C1" w:rsidP="00012480">
      <w:pPr>
        <w:spacing w:after="0" w:line="240" w:lineRule="auto"/>
        <w:jc w:val="both"/>
        <w:outlineLvl w:val="0"/>
        <w:rPr>
          <w:rFonts w:ascii="Times New Roman" w:hAnsi="Times New Roman"/>
          <w:sz w:val="20"/>
          <w:szCs w:val="20"/>
          <w:lang w:val="en-GB"/>
        </w:rPr>
      </w:pPr>
    </w:p>
    <w:p w:rsidR="00B643C1" w:rsidRPr="00B643C1" w:rsidRDefault="00B643C1" w:rsidP="00012480">
      <w:pPr>
        <w:spacing w:after="120" w:line="240" w:lineRule="auto"/>
        <w:jc w:val="center"/>
        <w:outlineLvl w:val="0"/>
        <w:rPr>
          <w:rFonts w:ascii="Times New Roman" w:hAnsi="Times New Roman"/>
          <w:sz w:val="20"/>
          <w:szCs w:val="20"/>
          <w:lang w:val="en-GB"/>
        </w:rPr>
      </w:pPr>
      <w:r w:rsidRPr="00B643C1">
        <w:rPr>
          <w:rFonts w:ascii="Times New Roman" w:hAnsi="Times New Roman"/>
          <w:noProof/>
          <w:sz w:val="20"/>
          <w:szCs w:val="20"/>
          <w:lang w:bidi="ar-SA"/>
        </w:rPr>
        <w:drawing>
          <wp:inline distT="0" distB="0" distL="0" distR="0" wp14:anchorId="5560C8CD" wp14:editId="7D0431C4">
            <wp:extent cx="3601502" cy="1811971"/>
            <wp:effectExtent l="0" t="0" r="18415" b="1714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643C1" w:rsidRPr="00B643C1" w:rsidRDefault="00B643C1" w:rsidP="00012480">
      <w:pPr>
        <w:pStyle w:val="Caption"/>
        <w:wordWrap/>
        <w:spacing w:after="0"/>
        <w:ind w:left="851" w:hanging="851"/>
        <w:jc w:val="left"/>
        <w:rPr>
          <w:rFonts w:ascii="Times New Roman" w:hAnsi="Times New Roman" w:cs="Times New Roman"/>
          <w:b w:val="0"/>
          <w:color w:val="auto"/>
          <w:sz w:val="20"/>
          <w:szCs w:val="20"/>
          <w:lang w:val="en-GB"/>
        </w:rPr>
      </w:pPr>
      <w:bookmarkStart w:id="2" w:name="_Ref511808194"/>
      <w:r w:rsidRPr="00B643C1">
        <w:rPr>
          <w:rFonts w:ascii="Times New Roman" w:hAnsi="Times New Roman" w:cs="Times New Roman"/>
          <w:b w:val="0"/>
          <w:color w:val="auto"/>
          <w:sz w:val="20"/>
          <w:szCs w:val="20"/>
          <w:lang w:val="en-GB"/>
        </w:rPr>
        <w:t xml:space="preserve">Figure </w:t>
      </w:r>
      <w:r w:rsidRPr="00B643C1">
        <w:rPr>
          <w:rFonts w:ascii="Times New Roman" w:hAnsi="Times New Roman" w:cs="Times New Roman"/>
          <w:b w:val="0"/>
          <w:color w:val="auto"/>
          <w:sz w:val="20"/>
          <w:szCs w:val="20"/>
          <w:lang w:val="en-GB"/>
        </w:rPr>
        <w:fldChar w:fldCharType="begin"/>
      </w:r>
      <w:r w:rsidRPr="00B643C1">
        <w:rPr>
          <w:rFonts w:ascii="Times New Roman" w:hAnsi="Times New Roman" w:cs="Times New Roman"/>
          <w:b w:val="0"/>
          <w:color w:val="auto"/>
          <w:sz w:val="20"/>
          <w:szCs w:val="20"/>
          <w:lang w:val="en-GB"/>
        </w:rPr>
        <w:instrText xml:space="preserve"> SEQ Figure \* ARABIC </w:instrText>
      </w:r>
      <w:r w:rsidRPr="00B643C1">
        <w:rPr>
          <w:rFonts w:ascii="Times New Roman" w:hAnsi="Times New Roman" w:cs="Times New Roman"/>
          <w:b w:val="0"/>
          <w:color w:val="auto"/>
          <w:sz w:val="20"/>
          <w:szCs w:val="20"/>
          <w:lang w:val="en-GB"/>
        </w:rPr>
        <w:fldChar w:fldCharType="separate"/>
      </w:r>
      <w:r w:rsidR="000321C2">
        <w:rPr>
          <w:rFonts w:ascii="Times New Roman" w:hAnsi="Times New Roman" w:cs="Times New Roman"/>
          <w:b w:val="0"/>
          <w:noProof/>
          <w:color w:val="auto"/>
          <w:sz w:val="20"/>
          <w:szCs w:val="20"/>
          <w:lang w:val="en-GB"/>
        </w:rPr>
        <w:t>2</w:t>
      </w:r>
      <w:r w:rsidRPr="00B643C1">
        <w:rPr>
          <w:rFonts w:ascii="Times New Roman" w:hAnsi="Times New Roman" w:cs="Times New Roman"/>
          <w:b w:val="0"/>
          <w:color w:val="auto"/>
          <w:sz w:val="20"/>
          <w:szCs w:val="20"/>
          <w:lang w:val="en-GB"/>
        </w:rPr>
        <w:fldChar w:fldCharType="end"/>
      </w:r>
      <w:bookmarkEnd w:id="2"/>
      <w:r w:rsidRPr="00B643C1">
        <w:rPr>
          <w:rFonts w:ascii="Times New Roman" w:hAnsi="Times New Roman" w:cs="Times New Roman"/>
          <w:b w:val="0"/>
          <w:color w:val="auto"/>
          <w:sz w:val="20"/>
          <w:szCs w:val="20"/>
          <w:lang w:val="en-GB"/>
        </w:rPr>
        <w:t xml:space="preserve">. </w:t>
      </w:r>
      <w:r w:rsidR="00012480">
        <w:rPr>
          <w:rFonts w:ascii="Times New Roman" w:hAnsi="Times New Roman" w:cs="Times New Roman"/>
          <w:b w:val="0"/>
          <w:color w:val="auto"/>
          <w:sz w:val="20"/>
          <w:szCs w:val="20"/>
          <w:lang w:val="en-GB"/>
        </w:rPr>
        <w:t xml:space="preserve"> </w:t>
      </w:r>
      <w:r w:rsidR="00012480">
        <w:rPr>
          <w:rFonts w:ascii="Times New Roman" w:hAnsi="Times New Roman" w:cs="Times New Roman"/>
          <w:b w:val="0"/>
          <w:color w:val="auto"/>
          <w:sz w:val="20"/>
          <w:szCs w:val="20"/>
          <w:lang w:val="en-GB"/>
        </w:rPr>
        <w:tab/>
      </w:r>
      <w:r w:rsidRPr="00B643C1">
        <w:rPr>
          <w:rFonts w:ascii="Times New Roman" w:hAnsi="Times New Roman" w:cs="Times New Roman"/>
          <w:b w:val="0"/>
          <w:color w:val="auto"/>
          <w:sz w:val="20"/>
          <w:szCs w:val="20"/>
          <w:lang w:val="en-GB"/>
        </w:rPr>
        <w:t>Absorbance of mercury(II) amido-iodine complex with acrylamide hydrolysed in various time measuring</w:t>
      </w:r>
      <w:r w:rsidR="00012480">
        <w:rPr>
          <w:rFonts w:ascii="Times New Roman" w:hAnsi="Times New Roman" w:cs="Times New Roman"/>
          <w:b w:val="0"/>
          <w:color w:val="auto"/>
          <w:sz w:val="20"/>
          <w:szCs w:val="20"/>
          <w:lang w:val="en-GB"/>
        </w:rPr>
        <w:t xml:space="preserve"> </w:t>
      </w:r>
      <w:r w:rsidRPr="00B643C1">
        <w:rPr>
          <w:rFonts w:ascii="Times New Roman" w:hAnsi="Times New Roman" w:cs="Times New Roman"/>
          <w:b w:val="0"/>
          <w:color w:val="auto"/>
          <w:sz w:val="20"/>
          <w:szCs w:val="20"/>
          <w:lang w:val="en-GB"/>
        </w:rPr>
        <w:t>at wavelength of 420 nm</w:t>
      </w:r>
    </w:p>
    <w:p w:rsidR="00B643C1" w:rsidRPr="00B643C1" w:rsidRDefault="00B643C1" w:rsidP="00B643C1">
      <w:pPr>
        <w:spacing w:after="0" w:line="240" w:lineRule="auto"/>
        <w:jc w:val="both"/>
        <w:outlineLvl w:val="0"/>
        <w:rPr>
          <w:rFonts w:ascii="Times New Roman" w:hAnsi="Times New Roman"/>
          <w:sz w:val="20"/>
          <w:szCs w:val="20"/>
          <w:lang w:val="en-GB"/>
        </w:rPr>
      </w:pPr>
    </w:p>
    <w:p w:rsidR="001C1C6A" w:rsidRDefault="00B643C1" w:rsidP="00B643C1">
      <w:pPr>
        <w:spacing w:after="0" w:line="240" w:lineRule="auto"/>
        <w:jc w:val="both"/>
        <w:outlineLvl w:val="0"/>
        <w:rPr>
          <w:rFonts w:ascii="Times New Roman" w:hAnsi="Times New Roman"/>
          <w:sz w:val="20"/>
          <w:szCs w:val="20"/>
          <w:lang w:val="en-GB"/>
        </w:rPr>
      </w:pPr>
      <w:r w:rsidRPr="00B643C1">
        <w:rPr>
          <w:rFonts w:ascii="Times New Roman" w:hAnsi="Times New Roman"/>
          <w:sz w:val="20"/>
          <w:szCs w:val="20"/>
          <w:lang w:val="en-GB"/>
        </w:rPr>
        <w:t xml:space="preserve">A study done by Paleologos and Kontominas reported that heating acrylamide at 70 °C in 5 M sulphuric acid for 6 hours or 4 M NaOH for 1 hour were able to completely convert acrylamide into its acid derivative </w:t>
      </w:r>
      <w:r w:rsidR="00F26AB7">
        <w:rPr>
          <w:rFonts w:ascii="Times New Roman" w:hAnsi="Times New Roman"/>
          <w:sz w:val="20"/>
          <w:szCs w:val="20"/>
          <w:lang w:val="en-GB"/>
        </w:rPr>
        <w:t>[22].</w:t>
      </w:r>
    </w:p>
    <w:p w:rsidR="00F26AB7" w:rsidRDefault="00F26AB7" w:rsidP="00B643C1">
      <w:pPr>
        <w:spacing w:after="0" w:line="240" w:lineRule="auto"/>
        <w:jc w:val="both"/>
        <w:outlineLvl w:val="0"/>
        <w:rPr>
          <w:rFonts w:ascii="Times New Roman" w:hAnsi="Times New Roman"/>
          <w:sz w:val="20"/>
          <w:szCs w:val="20"/>
          <w:lang w:val="en-GB"/>
        </w:rPr>
      </w:pPr>
    </w:p>
    <w:p w:rsidR="001C1C6A" w:rsidRPr="001C1C6A" w:rsidRDefault="001C1C6A" w:rsidP="001C1C6A">
      <w:pPr>
        <w:spacing w:after="0" w:line="240" w:lineRule="auto"/>
        <w:jc w:val="both"/>
        <w:outlineLvl w:val="0"/>
        <w:rPr>
          <w:rFonts w:ascii="Times New Roman" w:hAnsi="Times New Roman"/>
          <w:sz w:val="20"/>
          <w:szCs w:val="20"/>
          <w:lang w:val="en-GB"/>
        </w:rPr>
      </w:pPr>
      <w:r w:rsidRPr="001C1C6A">
        <w:rPr>
          <w:rFonts w:ascii="Times New Roman" w:hAnsi="Times New Roman"/>
          <w:b/>
          <w:sz w:val="20"/>
          <w:szCs w:val="20"/>
          <w:lang w:val="en-GB"/>
        </w:rPr>
        <w:t xml:space="preserve">Concentration optimisation of Nessler’s Reagent </w:t>
      </w:r>
    </w:p>
    <w:p w:rsidR="001C1C6A" w:rsidRPr="001C1C6A" w:rsidRDefault="001C1C6A" w:rsidP="001C1C6A">
      <w:pPr>
        <w:spacing w:after="0" w:line="240" w:lineRule="auto"/>
        <w:jc w:val="both"/>
        <w:outlineLvl w:val="0"/>
        <w:rPr>
          <w:rFonts w:ascii="Times New Roman" w:hAnsi="Times New Roman"/>
          <w:sz w:val="20"/>
          <w:szCs w:val="20"/>
          <w:lang w:val="en-GB"/>
        </w:rPr>
      </w:pPr>
      <w:r w:rsidRPr="001C1C6A">
        <w:rPr>
          <w:rFonts w:ascii="Times New Roman" w:hAnsi="Times New Roman"/>
          <w:sz w:val="20"/>
          <w:szCs w:val="20"/>
          <w:lang w:val="en-GB"/>
        </w:rPr>
        <w:t>The Nessler’s reagent is also known as potassium tetraiodomercurate(II) with yellow appearance and consists of two salts (HgI</w:t>
      </w:r>
      <w:r w:rsidRPr="001C1C6A">
        <w:rPr>
          <w:rFonts w:ascii="Times New Roman" w:hAnsi="Times New Roman"/>
          <w:sz w:val="20"/>
          <w:szCs w:val="20"/>
          <w:vertAlign w:val="subscript"/>
          <w:lang w:val="en-GB"/>
        </w:rPr>
        <w:t>2</w:t>
      </w:r>
      <w:r w:rsidRPr="001C1C6A">
        <w:rPr>
          <w:rFonts w:ascii="Times New Roman" w:hAnsi="Times New Roman"/>
          <w:sz w:val="20"/>
          <w:szCs w:val="20"/>
          <w:lang w:val="en-GB"/>
        </w:rPr>
        <w:t xml:space="preserve"> and KI). From Equation 3, the optimum molar ratio (HgI</w:t>
      </w:r>
      <w:r w:rsidRPr="001C1C6A">
        <w:rPr>
          <w:rFonts w:ascii="Times New Roman" w:hAnsi="Times New Roman"/>
          <w:sz w:val="20"/>
          <w:szCs w:val="20"/>
          <w:vertAlign w:val="subscript"/>
          <w:lang w:val="en-GB"/>
        </w:rPr>
        <w:t>2</w:t>
      </w:r>
      <w:r w:rsidRPr="001C1C6A">
        <w:rPr>
          <w:rFonts w:ascii="Times New Roman" w:hAnsi="Times New Roman"/>
          <w:sz w:val="20"/>
          <w:szCs w:val="20"/>
          <w:lang w:val="en-GB"/>
        </w:rPr>
        <w:t>:KI) in forming Nessler’s reagent is 1:2. From Figure 3, the optimum concentrations of HgI</w:t>
      </w:r>
      <w:r w:rsidRPr="001C1C6A">
        <w:rPr>
          <w:rFonts w:ascii="Times New Roman" w:hAnsi="Times New Roman"/>
          <w:sz w:val="20"/>
          <w:szCs w:val="20"/>
          <w:vertAlign w:val="subscript"/>
          <w:lang w:val="en-GB"/>
        </w:rPr>
        <w:t>2</w:t>
      </w:r>
      <w:r w:rsidRPr="001C1C6A">
        <w:rPr>
          <w:rFonts w:ascii="Times New Roman" w:hAnsi="Times New Roman"/>
          <w:sz w:val="20"/>
          <w:szCs w:val="20"/>
          <w:lang w:val="en-GB"/>
        </w:rPr>
        <w:t xml:space="preserve"> and KI are 0.075 M and 0.15 M, respectively. These results fulfilled the theoretical molar ratio of 1:2 to form Nessler’s reagent. HgI</w:t>
      </w:r>
      <w:r w:rsidRPr="001C1C6A">
        <w:rPr>
          <w:rFonts w:ascii="Times New Roman" w:hAnsi="Times New Roman"/>
          <w:sz w:val="20"/>
          <w:szCs w:val="20"/>
          <w:vertAlign w:val="subscript"/>
          <w:lang w:val="en-GB"/>
        </w:rPr>
        <w:t>2</w:t>
      </w:r>
      <w:r w:rsidRPr="001C1C6A">
        <w:rPr>
          <w:rFonts w:ascii="Times New Roman" w:hAnsi="Times New Roman"/>
          <w:sz w:val="20"/>
          <w:szCs w:val="20"/>
          <w:lang w:val="en-GB"/>
        </w:rPr>
        <w:t xml:space="preserve"> is hardly soluble in water and needs to be added into KI solution to form Nessler’s reagent. When 0.075 M HgI</w:t>
      </w:r>
      <w:r w:rsidRPr="001C1C6A">
        <w:rPr>
          <w:rFonts w:ascii="Times New Roman" w:hAnsi="Times New Roman"/>
          <w:sz w:val="20"/>
          <w:szCs w:val="20"/>
          <w:vertAlign w:val="subscript"/>
          <w:lang w:val="en-GB"/>
        </w:rPr>
        <w:t>2</w:t>
      </w:r>
      <w:r w:rsidRPr="001C1C6A">
        <w:rPr>
          <w:rFonts w:ascii="Times New Roman" w:hAnsi="Times New Roman"/>
          <w:sz w:val="20"/>
          <w:szCs w:val="20"/>
          <w:lang w:val="en-GB"/>
        </w:rPr>
        <w:t xml:space="preserve"> and less than 0.15 M KI used, some of the HgI</w:t>
      </w:r>
      <w:r w:rsidRPr="001C1C6A">
        <w:rPr>
          <w:rFonts w:ascii="Times New Roman" w:hAnsi="Times New Roman"/>
          <w:sz w:val="20"/>
          <w:szCs w:val="20"/>
          <w:vertAlign w:val="subscript"/>
          <w:lang w:val="en-GB"/>
        </w:rPr>
        <w:t>2</w:t>
      </w:r>
      <w:r w:rsidRPr="001C1C6A">
        <w:rPr>
          <w:rFonts w:ascii="Times New Roman" w:hAnsi="Times New Roman"/>
          <w:sz w:val="20"/>
          <w:szCs w:val="20"/>
          <w:lang w:val="en-GB"/>
        </w:rPr>
        <w:t xml:space="preserve"> remain insoluble in the solution. Therefore, the formation of Nessler’s reagent is not completed. This is the reason for not investigating the concentration of KI less than 0.15 M as shown in Figure 3b. The plateau result from Figure 3b shows that the concentration of KI is not affecting the formation of Nessler’s reagent when the molar ratio with HgI</w:t>
      </w:r>
      <w:r w:rsidRPr="001C1C6A">
        <w:rPr>
          <w:rFonts w:ascii="Times New Roman" w:hAnsi="Times New Roman"/>
          <w:sz w:val="20"/>
          <w:szCs w:val="20"/>
          <w:vertAlign w:val="subscript"/>
          <w:lang w:val="en-GB"/>
        </w:rPr>
        <w:t>2</w:t>
      </w:r>
      <w:r w:rsidRPr="001C1C6A">
        <w:rPr>
          <w:rFonts w:ascii="Times New Roman" w:hAnsi="Times New Roman"/>
          <w:sz w:val="20"/>
          <w:szCs w:val="20"/>
          <w:lang w:val="en-GB"/>
        </w:rPr>
        <w:t xml:space="preserve"> is equal or bigger than 2. Figure 4 shows that the optimum concentration of reagents used in this analysis as 3.0 mM.</w:t>
      </w:r>
    </w:p>
    <w:p w:rsidR="00B643C1" w:rsidRPr="00B643C1" w:rsidRDefault="00B643C1" w:rsidP="001C1C6A">
      <w:pPr>
        <w:spacing w:after="120" w:line="240" w:lineRule="auto"/>
        <w:jc w:val="both"/>
        <w:outlineLvl w:val="0"/>
        <w:rPr>
          <w:rFonts w:ascii="Times New Roman" w:hAnsi="Times New Roman"/>
          <w:sz w:val="20"/>
          <w:szCs w:val="20"/>
          <w:lang w:val="en-GB"/>
        </w:rPr>
      </w:pPr>
    </w:p>
    <w:p w:rsidR="002A769C" w:rsidRPr="002A769C" w:rsidRDefault="002A769C" w:rsidP="002A769C">
      <w:pPr>
        <w:spacing w:after="0" w:line="240" w:lineRule="auto"/>
        <w:ind w:firstLine="720"/>
        <w:jc w:val="both"/>
        <w:outlineLvl w:val="0"/>
        <w:rPr>
          <w:rFonts w:ascii="Times New Roman" w:hAnsi="Times New Roman"/>
          <w:sz w:val="20"/>
          <w:szCs w:val="20"/>
          <w:lang w:val="en-GB"/>
        </w:rPr>
      </w:pPr>
      <w:r w:rsidRPr="002A769C">
        <w:rPr>
          <w:rFonts w:ascii="Times New Roman" w:hAnsi="Times New Roman"/>
          <w:sz w:val="20"/>
          <w:szCs w:val="20"/>
          <w:lang w:val="en-GB"/>
        </w:rPr>
        <w:t>HgI</w:t>
      </w:r>
      <w:r w:rsidRPr="002A769C">
        <w:rPr>
          <w:rFonts w:ascii="Times New Roman" w:hAnsi="Times New Roman"/>
          <w:sz w:val="20"/>
          <w:szCs w:val="20"/>
          <w:vertAlign w:val="subscript"/>
          <w:lang w:val="en-GB"/>
        </w:rPr>
        <w:t>2</w:t>
      </w:r>
      <w:r w:rsidRPr="002A769C">
        <w:rPr>
          <w:rFonts w:ascii="Times New Roman" w:hAnsi="Times New Roman"/>
          <w:sz w:val="20"/>
          <w:szCs w:val="20"/>
          <w:lang w:val="en-GB"/>
        </w:rPr>
        <w:t xml:space="preserve">   +   KI   →    K</w:t>
      </w:r>
      <w:r w:rsidRPr="002A769C">
        <w:rPr>
          <w:rFonts w:ascii="Times New Roman" w:hAnsi="Times New Roman"/>
          <w:sz w:val="20"/>
          <w:szCs w:val="20"/>
          <w:vertAlign w:val="subscript"/>
          <w:lang w:val="en-GB"/>
        </w:rPr>
        <w:t>2</w:t>
      </w:r>
      <w:r w:rsidRPr="002A769C">
        <w:rPr>
          <w:rFonts w:ascii="Times New Roman" w:hAnsi="Times New Roman"/>
          <w:sz w:val="20"/>
          <w:szCs w:val="20"/>
          <w:lang w:val="en-GB"/>
        </w:rPr>
        <w:t>[HgI</w:t>
      </w:r>
      <w:r w:rsidRPr="002A769C">
        <w:rPr>
          <w:rFonts w:ascii="Times New Roman" w:hAnsi="Times New Roman"/>
          <w:sz w:val="20"/>
          <w:szCs w:val="20"/>
          <w:vertAlign w:val="subscript"/>
          <w:lang w:val="en-GB"/>
        </w:rPr>
        <w:t>4</w:t>
      </w:r>
      <w:r w:rsidRPr="002A769C">
        <w:rPr>
          <w:rFonts w:ascii="Times New Roman" w:hAnsi="Times New Roman"/>
          <w:sz w:val="20"/>
          <w:szCs w:val="20"/>
          <w:lang w:val="en-GB"/>
        </w:rPr>
        <w:t>]</w:t>
      </w:r>
      <w:r w:rsidRPr="002A769C">
        <w:rPr>
          <w:rFonts w:ascii="Times New Roman" w:hAnsi="Times New Roman"/>
          <w:sz w:val="20"/>
          <w:szCs w:val="20"/>
          <w:lang w:val="en-GB"/>
        </w:rPr>
        <w:tab/>
      </w:r>
      <w:r w:rsidRPr="002A769C">
        <w:rPr>
          <w:rFonts w:ascii="Times New Roman" w:hAnsi="Times New Roman"/>
          <w:sz w:val="20"/>
          <w:szCs w:val="20"/>
          <w:lang w:val="en-GB"/>
        </w:rPr>
        <w:tab/>
      </w:r>
      <w:r w:rsidRPr="002A769C">
        <w:rPr>
          <w:rFonts w:ascii="Times New Roman" w:hAnsi="Times New Roman"/>
          <w:sz w:val="20"/>
          <w:szCs w:val="20"/>
          <w:lang w:val="en-GB"/>
        </w:rPr>
        <w:tab/>
      </w:r>
      <w:r w:rsidRPr="002A769C">
        <w:rPr>
          <w:rFonts w:ascii="Times New Roman" w:hAnsi="Times New Roman"/>
          <w:sz w:val="20"/>
          <w:szCs w:val="20"/>
          <w:lang w:val="en-GB"/>
        </w:rPr>
        <w:tab/>
      </w:r>
      <w:r w:rsidRPr="002A769C">
        <w:rPr>
          <w:rFonts w:ascii="Times New Roman" w:hAnsi="Times New Roman"/>
          <w:sz w:val="20"/>
          <w:szCs w:val="20"/>
          <w:lang w:val="en-GB"/>
        </w:rPr>
        <w:tab/>
      </w:r>
      <w:r w:rsidRPr="002A769C">
        <w:rPr>
          <w:rFonts w:ascii="Times New Roman" w:hAnsi="Times New Roman"/>
          <w:sz w:val="20"/>
          <w:szCs w:val="20"/>
          <w:lang w:val="en-GB"/>
        </w:rPr>
        <w:tab/>
      </w:r>
      <w:r w:rsidRPr="002A769C">
        <w:rPr>
          <w:rFonts w:ascii="Times New Roman" w:hAnsi="Times New Roman"/>
          <w:sz w:val="20"/>
          <w:szCs w:val="20"/>
          <w:lang w:val="en-GB"/>
        </w:rPr>
        <w:tab/>
      </w:r>
      <w:r w:rsidRPr="002A769C">
        <w:rPr>
          <w:rFonts w:ascii="Times New Roman" w:hAnsi="Times New Roman"/>
          <w:sz w:val="20"/>
          <w:szCs w:val="20"/>
          <w:lang w:val="en-GB"/>
        </w:rPr>
        <w:tab/>
        <w:t xml:space="preserve">  </w:t>
      </w:r>
      <w:r>
        <w:rPr>
          <w:rFonts w:ascii="Times New Roman" w:hAnsi="Times New Roman"/>
          <w:sz w:val="20"/>
          <w:szCs w:val="20"/>
          <w:lang w:val="en-GB"/>
        </w:rPr>
        <w:t xml:space="preserve">      </w:t>
      </w:r>
      <w:r w:rsidRPr="002A769C">
        <w:rPr>
          <w:rFonts w:ascii="Times New Roman" w:hAnsi="Times New Roman"/>
          <w:sz w:val="20"/>
          <w:szCs w:val="20"/>
          <w:lang w:val="en-GB"/>
        </w:rPr>
        <w:t xml:space="preserve"> (3)</w:t>
      </w:r>
    </w:p>
    <w:p w:rsidR="001C1C6A" w:rsidRDefault="001C1C6A" w:rsidP="001C1C6A">
      <w:pPr>
        <w:spacing w:after="120" w:line="240" w:lineRule="auto"/>
        <w:jc w:val="both"/>
        <w:rPr>
          <w:rFonts w:ascii="Times New Roman" w:hAnsi="Times New Roman"/>
          <w:sz w:val="20"/>
          <w:szCs w:val="20"/>
          <w:lang w:val="en-GB"/>
        </w:rPr>
      </w:pPr>
    </w:p>
    <w:p w:rsidR="002A769C" w:rsidRPr="00B10D26" w:rsidRDefault="002A769C" w:rsidP="002A769C">
      <w:pPr>
        <w:jc w:val="center"/>
        <w:outlineLvl w:val="0"/>
        <w:rPr>
          <w:rFonts w:ascii="Times New Roman" w:hAnsi="Times New Roman"/>
          <w:szCs w:val="20"/>
          <w:lang w:val="en-GB"/>
        </w:rPr>
      </w:pPr>
      <w:r w:rsidRPr="00B10D26">
        <w:rPr>
          <w:rFonts w:ascii="Times New Roman" w:hAnsi="Times New Roman"/>
          <w:noProof/>
          <w:lang w:bidi="ar-SA"/>
        </w:rPr>
        <w:drawing>
          <wp:inline distT="0" distB="0" distL="0" distR="0" wp14:anchorId="6601B834" wp14:editId="6B0483C5">
            <wp:extent cx="3600000" cy="2160000"/>
            <wp:effectExtent l="0" t="0" r="635" b="1206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A769C" w:rsidRDefault="002A769C" w:rsidP="002A769C">
      <w:pPr>
        <w:pStyle w:val="Caption"/>
        <w:spacing w:after="0"/>
        <w:rPr>
          <w:rFonts w:ascii="Times New Roman" w:hAnsi="Times New Roman" w:cs="Times New Roman"/>
          <w:b w:val="0"/>
          <w:color w:val="auto"/>
          <w:sz w:val="20"/>
          <w:szCs w:val="20"/>
          <w:lang w:val="en-GB"/>
        </w:rPr>
      </w:pPr>
      <w:bookmarkStart w:id="3" w:name="_Ref511809066"/>
      <w:bookmarkStart w:id="4" w:name="_Ref511809022"/>
    </w:p>
    <w:p w:rsidR="002A769C" w:rsidRDefault="002A769C" w:rsidP="002A769C">
      <w:pPr>
        <w:pStyle w:val="Caption"/>
        <w:spacing w:after="120"/>
        <w:jc w:val="center"/>
        <w:rPr>
          <w:rFonts w:ascii="Times New Roman" w:hAnsi="Times New Roman" w:cs="Times New Roman"/>
          <w:b w:val="0"/>
          <w:color w:val="auto"/>
          <w:sz w:val="20"/>
          <w:szCs w:val="20"/>
          <w:lang w:val="en-GB"/>
        </w:rPr>
      </w:pPr>
      <w:r w:rsidRPr="00B10D26">
        <w:rPr>
          <w:rFonts w:ascii="Times New Roman" w:hAnsi="Times New Roman" w:cs="Times New Roman"/>
          <w:noProof/>
          <w:color w:val="auto"/>
          <w:lang w:eastAsia="en-US"/>
        </w:rPr>
        <w:drawing>
          <wp:inline distT="0" distB="0" distL="0" distR="0" wp14:anchorId="2CF830C1" wp14:editId="487323D2">
            <wp:extent cx="3600000" cy="2160000"/>
            <wp:effectExtent l="0" t="0" r="635"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A769C" w:rsidRPr="002A769C" w:rsidRDefault="002A769C" w:rsidP="002A769C">
      <w:pPr>
        <w:pStyle w:val="Caption"/>
        <w:spacing w:after="0"/>
        <w:ind w:left="851" w:hanging="851"/>
        <w:rPr>
          <w:rFonts w:ascii="Times New Roman" w:hAnsi="Times New Roman" w:cs="Times New Roman"/>
          <w:b w:val="0"/>
          <w:color w:val="auto"/>
          <w:sz w:val="20"/>
          <w:szCs w:val="20"/>
          <w:lang w:val="en-GB"/>
        </w:rPr>
      </w:pPr>
      <w:r w:rsidRPr="00B10D26">
        <w:rPr>
          <w:rFonts w:ascii="Times New Roman" w:hAnsi="Times New Roman" w:cs="Times New Roman"/>
          <w:b w:val="0"/>
          <w:color w:val="auto"/>
          <w:sz w:val="20"/>
          <w:szCs w:val="20"/>
          <w:lang w:val="en-GB"/>
        </w:rPr>
        <w:t xml:space="preserve">Figure </w:t>
      </w:r>
      <w:r w:rsidRPr="00B10D26">
        <w:rPr>
          <w:rFonts w:ascii="Times New Roman" w:hAnsi="Times New Roman" w:cs="Times New Roman"/>
          <w:b w:val="0"/>
          <w:color w:val="auto"/>
          <w:sz w:val="20"/>
          <w:szCs w:val="20"/>
          <w:lang w:val="en-GB"/>
        </w:rPr>
        <w:fldChar w:fldCharType="begin"/>
      </w:r>
      <w:r w:rsidRPr="00B10D26">
        <w:rPr>
          <w:rFonts w:ascii="Times New Roman" w:hAnsi="Times New Roman" w:cs="Times New Roman"/>
          <w:b w:val="0"/>
          <w:color w:val="auto"/>
          <w:sz w:val="20"/>
          <w:szCs w:val="20"/>
          <w:lang w:val="en-GB"/>
        </w:rPr>
        <w:instrText xml:space="preserve"> SEQ Figure \* ARABIC </w:instrText>
      </w:r>
      <w:r w:rsidRPr="00B10D26">
        <w:rPr>
          <w:rFonts w:ascii="Times New Roman" w:hAnsi="Times New Roman" w:cs="Times New Roman"/>
          <w:b w:val="0"/>
          <w:color w:val="auto"/>
          <w:sz w:val="20"/>
          <w:szCs w:val="20"/>
          <w:lang w:val="en-GB"/>
        </w:rPr>
        <w:fldChar w:fldCharType="separate"/>
      </w:r>
      <w:r w:rsidR="000321C2">
        <w:rPr>
          <w:rFonts w:ascii="Times New Roman" w:hAnsi="Times New Roman" w:cs="Times New Roman"/>
          <w:b w:val="0"/>
          <w:noProof/>
          <w:color w:val="auto"/>
          <w:sz w:val="20"/>
          <w:szCs w:val="20"/>
          <w:lang w:val="en-GB"/>
        </w:rPr>
        <w:t>3</w:t>
      </w:r>
      <w:r w:rsidRPr="00B10D26">
        <w:rPr>
          <w:rFonts w:ascii="Times New Roman" w:hAnsi="Times New Roman" w:cs="Times New Roman"/>
          <w:b w:val="0"/>
          <w:color w:val="auto"/>
          <w:sz w:val="20"/>
          <w:szCs w:val="20"/>
          <w:lang w:val="en-GB"/>
        </w:rPr>
        <w:fldChar w:fldCharType="end"/>
      </w:r>
      <w:bookmarkEnd w:id="3"/>
      <w:r w:rsidRPr="00B10D26">
        <w:rPr>
          <w:rFonts w:ascii="Times New Roman" w:hAnsi="Times New Roman" w:cs="Times New Roman"/>
          <w:b w:val="0"/>
          <w:color w:val="auto"/>
          <w:sz w:val="20"/>
          <w:szCs w:val="20"/>
          <w:lang w:val="en-GB"/>
        </w:rPr>
        <w:t xml:space="preserve">. </w:t>
      </w:r>
      <w:r>
        <w:rPr>
          <w:rFonts w:ascii="Times New Roman" w:hAnsi="Times New Roman" w:cs="Times New Roman"/>
          <w:b w:val="0"/>
          <w:color w:val="auto"/>
          <w:sz w:val="20"/>
          <w:szCs w:val="20"/>
          <w:lang w:val="en-GB"/>
        </w:rPr>
        <w:tab/>
      </w:r>
      <w:r w:rsidRPr="00B10D26">
        <w:rPr>
          <w:rFonts w:ascii="Times New Roman" w:hAnsi="Times New Roman" w:cs="Times New Roman"/>
          <w:b w:val="0"/>
          <w:color w:val="auto"/>
          <w:sz w:val="20"/>
          <w:szCs w:val="20"/>
          <w:lang w:val="en-GB"/>
        </w:rPr>
        <w:t>Absorbance of complex formed from hydrolysed acrylamide solution (5 ppm) with HgI</w:t>
      </w:r>
      <w:r w:rsidRPr="00B10D26">
        <w:rPr>
          <w:rFonts w:ascii="Times New Roman" w:hAnsi="Times New Roman" w:cs="Times New Roman"/>
          <w:b w:val="0"/>
          <w:color w:val="auto"/>
          <w:sz w:val="20"/>
          <w:szCs w:val="20"/>
          <w:vertAlign w:val="subscript"/>
          <w:lang w:val="en-GB"/>
        </w:rPr>
        <w:t>2</w:t>
      </w:r>
      <w:r w:rsidRPr="00B10D26">
        <w:rPr>
          <w:rFonts w:ascii="Times New Roman" w:hAnsi="Times New Roman" w:cs="Times New Roman"/>
          <w:b w:val="0"/>
          <w:color w:val="auto"/>
          <w:sz w:val="20"/>
          <w:szCs w:val="20"/>
          <w:lang w:val="en-GB"/>
        </w:rPr>
        <w:t xml:space="preserve"> and KI in various concentrations</w:t>
      </w:r>
      <w:bookmarkEnd w:id="4"/>
    </w:p>
    <w:p w:rsidR="002A769C" w:rsidRDefault="002A769C" w:rsidP="002A769C">
      <w:pPr>
        <w:spacing w:after="120" w:line="240" w:lineRule="auto"/>
        <w:jc w:val="center"/>
        <w:outlineLvl w:val="0"/>
        <w:rPr>
          <w:rFonts w:ascii="Times New Roman" w:hAnsi="Times New Roman"/>
          <w:sz w:val="20"/>
          <w:szCs w:val="20"/>
          <w:lang w:val="en-GB"/>
        </w:rPr>
      </w:pPr>
      <w:r w:rsidRPr="00B10D26">
        <w:rPr>
          <w:rFonts w:ascii="Times New Roman" w:hAnsi="Times New Roman"/>
          <w:noProof/>
          <w:lang w:bidi="ar-SA"/>
        </w:rPr>
        <w:lastRenderedPageBreak/>
        <w:drawing>
          <wp:inline distT="0" distB="0" distL="0" distR="0" wp14:anchorId="3AED6544" wp14:editId="4052B4CD">
            <wp:extent cx="3600000" cy="2160000"/>
            <wp:effectExtent l="0" t="0" r="635" b="1206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Start w:id="5" w:name="_Ref511809296"/>
    </w:p>
    <w:p w:rsidR="002A769C" w:rsidRPr="002A769C" w:rsidRDefault="002A769C" w:rsidP="002A769C">
      <w:pPr>
        <w:spacing w:after="0" w:line="240" w:lineRule="auto"/>
        <w:ind w:left="900" w:hanging="900"/>
        <w:jc w:val="both"/>
        <w:outlineLvl w:val="0"/>
        <w:rPr>
          <w:rFonts w:ascii="Times New Roman" w:hAnsi="Times New Roman"/>
          <w:szCs w:val="20"/>
          <w:lang w:val="en-GB"/>
        </w:rPr>
      </w:pPr>
      <w:r w:rsidRPr="00B10D26">
        <w:rPr>
          <w:rFonts w:ascii="Times New Roman" w:hAnsi="Times New Roman"/>
          <w:sz w:val="20"/>
          <w:szCs w:val="20"/>
          <w:lang w:val="en-GB"/>
        </w:rPr>
        <w:t xml:space="preserve">Figure </w:t>
      </w:r>
      <w:r w:rsidRPr="00B10D26">
        <w:rPr>
          <w:rFonts w:ascii="Times New Roman" w:hAnsi="Times New Roman"/>
          <w:b/>
          <w:sz w:val="20"/>
          <w:szCs w:val="20"/>
          <w:lang w:val="en-GB"/>
        </w:rPr>
        <w:fldChar w:fldCharType="begin"/>
      </w:r>
      <w:r w:rsidRPr="00B10D26">
        <w:rPr>
          <w:rFonts w:ascii="Times New Roman" w:hAnsi="Times New Roman"/>
          <w:sz w:val="20"/>
          <w:szCs w:val="20"/>
          <w:lang w:val="en-GB"/>
        </w:rPr>
        <w:instrText xml:space="preserve"> SEQ Figure \* ARABIC </w:instrText>
      </w:r>
      <w:r w:rsidRPr="00B10D26">
        <w:rPr>
          <w:rFonts w:ascii="Times New Roman" w:hAnsi="Times New Roman"/>
          <w:b/>
          <w:sz w:val="20"/>
          <w:szCs w:val="20"/>
          <w:lang w:val="en-GB"/>
        </w:rPr>
        <w:fldChar w:fldCharType="separate"/>
      </w:r>
      <w:r w:rsidR="000321C2">
        <w:rPr>
          <w:rFonts w:ascii="Times New Roman" w:hAnsi="Times New Roman"/>
          <w:noProof/>
          <w:sz w:val="20"/>
          <w:szCs w:val="20"/>
          <w:lang w:val="en-GB"/>
        </w:rPr>
        <w:t>4</w:t>
      </w:r>
      <w:r w:rsidRPr="00B10D26">
        <w:rPr>
          <w:rFonts w:ascii="Times New Roman" w:hAnsi="Times New Roman"/>
          <w:b/>
          <w:sz w:val="20"/>
          <w:szCs w:val="20"/>
          <w:lang w:val="en-GB"/>
        </w:rPr>
        <w:fldChar w:fldCharType="end"/>
      </w:r>
      <w:bookmarkEnd w:id="5"/>
      <w:r w:rsidRPr="00B10D26">
        <w:rPr>
          <w:rFonts w:ascii="Times New Roman" w:hAnsi="Times New Roman"/>
          <w:sz w:val="20"/>
          <w:szCs w:val="20"/>
          <w:lang w:val="en-GB"/>
        </w:rPr>
        <w:t xml:space="preserve">. </w:t>
      </w:r>
      <w:r>
        <w:rPr>
          <w:rFonts w:ascii="Times New Roman" w:hAnsi="Times New Roman"/>
          <w:sz w:val="20"/>
          <w:szCs w:val="20"/>
          <w:lang w:val="en-GB"/>
        </w:rPr>
        <w:t xml:space="preserve"> </w:t>
      </w:r>
      <w:r w:rsidRPr="00B10D26">
        <w:rPr>
          <w:rFonts w:ascii="Times New Roman" w:hAnsi="Times New Roman"/>
          <w:sz w:val="20"/>
          <w:szCs w:val="20"/>
          <w:lang w:val="en-GB"/>
        </w:rPr>
        <w:t>The effect of Nessler’s reagent concentration in the detection of hydrolysed acrylamide solution. The absorbance was measured in at wavelength of 420 nm</w:t>
      </w:r>
    </w:p>
    <w:p w:rsidR="002A769C" w:rsidRPr="00CE7D8C" w:rsidRDefault="002A769C" w:rsidP="00CE7D8C">
      <w:pPr>
        <w:spacing w:after="12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b/>
          <w:sz w:val="20"/>
          <w:szCs w:val="20"/>
          <w:lang w:val="en-GB"/>
        </w:rPr>
      </w:pPr>
      <w:r w:rsidRPr="00CE7D8C">
        <w:rPr>
          <w:rFonts w:ascii="Times New Roman" w:hAnsi="Times New Roman"/>
          <w:b/>
          <w:sz w:val="20"/>
          <w:szCs w:val="20"/>
          <w:lang w:val="en-GB"/>
        </w:rPr>
        <w:t>Quantitative determination of acrylamide in solution</w:t>
      </w:r>
    </w:p>
    <w:p w:rsidR="00B643C1" w:rsidRPr="00CE7D8C" w:rsidRDefault="00B643C1" w:rsidP="001C1C6A">
      <w:pPr>
        <w:spacing w:after="0" w:line="240" w:lineRule="auto"/>
        <w:jc w:val="both"/>
        <w:rPr>
          <w:rFonts w:ascii="Times New Roman" w:hAnsi="Times New Roman"/>
          <w:sz w:val="20"/>
          <w:szCs w:val="20"/>
          <w:lang w:val="en-GB"/>
        </w:rPr>
      </w:pPr>
      <w:r w:rsidRPr="00CE7D8C">
        <w:rPr>
          <w:rFonts w:ascii="Times New Roman" w:hAnsi="Times New Roman"/>
          <w:sz w:val="20"/>
          <w:szCs w:val="20"/>
          <w:lang w:val="en-GB"/>
        </w:rPr>
        <w:t xml:space="preserve">The reproducibility of this method enables the same experimental procedures being repeated. As shown in </w:t>
      </w:r>
      <w:r w:rsidR="001C1C6A">
        <w:rPr>
          <w:rFonts w:ascii="Times New Roman" w:hAnsi="Times New Roman"/>
          <w:sz w:val="20"/>
          <w:szCs w:val="20"/>
          <w:lang w:val="en-GB"/>
        </w:rPr>
        <w:t>Figure 5</w:t>
      </w:r>
      <w:r w:rsidRPr="00CE7D8C">
        <w:rPr>
          <w:rFonts w:ascii="Times New Roman" w:hAnsi="Times New Roman"/>
          <w:sz w:val="20"/>
          <w:szCs w:val="20"/>
          <w:lang w:val="en-GB"/>
        </w:rPr>
        <w:t>, this method produced a good reproducibility where the RSD values were 2.8–3.3%. This result is as comparable to previous studies with reported RSD values of 3.17–6.15%</w:t>
      </w:r>
      <w:r w:rsidR="001C1C6A">
        <w:rPr>
          <w:rFonts w:ascii="Times New Roman" w:hAnsi="Times New Roman"/>
          <w:sz w:val="20"/>
          <w:szCs w:val="20"/>
          <w:lang w:val="en-GB"/>
        </w:rPr>
        <w:t xml:space="preserve"> [23]</w:t>
      </w:r>
      <w:r w:rsidRPr="00CE7D8C">
        <w:rPr>
          <w:rFonts w:ascii="Times New Roman" w:hAnsi="Times New Roman"/>
          <w:sz w:val="20"/>
          <w:szCs w:val="20"/>
          <w:lang w:val="en-GB"/>
        </w:rPr>
        <w:t>.</w:t>
      </w:r>
    </w:p>
    <w:p w:rsidR="00B643C1" w:rsidRPr="00CE7D8C" w:rsidRDefault="00B643C1" w:rsidP="00CE7D8C">
      <w:pPr>
        <w:spacing w:after="120" w:line="240" w:lineRule="auto"/>
        <w:jc w:val="both"/>
        <w:rPr>
          <w:rFonts w:ascii="Times New Roman" w:hAnsi="Times New Roman"/>
          <w:sz w:val="20"/>
          <w:szCs w:val="20"/>
          <w:lang w:val="en-GB"/>
        </w:rPr>
      </w:pPr>
    </w:p>
    <w:p w:rsidR="00B643C1" w:rsidRPr="00CE7D8C" w:rsidRDefault="00B643C1" w:rsidP="00CE7D8C">
      <w:pPr>
        <w:spacing w:after="120" w:line="240" w:lineRule="auto"/>
        <w:jc w:val="center"/>
        <w:rPr>
          <w:rFonts w:ascii="Times New Roman" w:hAnsi="Times New Roman"/>
          <w:sz w:val="20"/>
          <w:szCs w:val="20"/>
          <w:lang w:val="en-GB"/>
        </w:rPr>
      </w:pPr>
      <w:r w:rsidRPr="00CE7D8C">
        <w:rPr>
          <w:rFonts w:ascii="Times New Roman" w:hAnsi="Times New Roman"/>
          <w:noProof/>
          <w:sz w:val="20"/>
          <w:szCs w:val="20"/>
          <w:lang w:bidi="ar-SA"/>
        </w:rPr>
        <w:drawing>
          <wp:inline distT="0" distB="0" distL="0" distR="0" wp14:anchorId="1306E8F5" wp14:editId="0B23C5F7">
            <wp:extent cx="3600000" cy="2160000"/>
            <wp:effectExtent l="0" t="0" r="635" b="1206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Start w:id="6" w:name="_Ref511809875"/>
      <w:bookmarkStart w:id="7" w:name="_Ref511809869"/>
    </w:p>
    <w:p w:rsidR="00B643C1" w:rsidRPr="00CE7D8C" w:rsidRDefault="00B643C1" w:rsidP="00CE7D8C">
      <w:pPr>
        <w:spacing w:after="0" w:line="240" w:lineRule="auto"/>
        <w:ind w:left="990" w:hanging="990"/>
        <w:jc w:val="both"/>
        <w:rPr>
          <w:rFonts w:ascii="Times New Roman" w:hAnsi="Times New Roman"/>
          <w:sz w:val="20"/>
          <w:szCs w:val="20"/>
          <w:lang w:val="en-GB"/>
        </w:rPr>
      </w:pPr>
      <w:r w:rsidRPr="00CE7D8C">
        <w:rPr>
          <w:rFonts w:ascii="Times New Roman" w:hAnsi="Times New Roman"/>
          <w:sz w:val="20"/>
          <w:szCs w:val="20"/>
          <w:lang w:val="en-GB"/>
        </w:rPr>
        <w:t xml:space="preserve">Figure </w:t>
      </w:r>
      <w:r w:rsidRPr="00CE7D8C">
        <w:rPr>
          <w:rFonts w:ascii="Times New Roman" w:hAnsi="Times New Roman"/>
          <w:sz w:val="20"/>
          <w:szCs w:val="20"/>
          <w:lang w:val="en-GB"/>
        </w:rPr>
        <w:fldChar w:fldCharType="begin"/>
      </w:r>
      <w:r w:rsidRPr="00CE7D8C">
        <w:rPr>
          <w:rFonts w:ascii="Times New Roman" w:hAnsi="Times New Roman"/>
          <w:sz w:val="20"/>
          <w:szCs w:val="20"/>
          <w:lang w:val="en-GB"/>
        </w:rPr>
        <w:instrText xml:space="preserve"> SEQ Figure \* ARABIC </w:instrText>
      </w:r>
      <w:r w:rsidRPr="00CE7D8C">
        <w:rPr>
          <w:rFonts w:ascii="Times New Roman" w:hAnsi="Times New Roman"/>
          <w:sz w:val="20"/>
          <w:szCs w:val="20"/>
          <w:lang w:val="en-GB"/>
        </w:rPr>
        <w:fldChar w:fldCharType="separate"/>
      </w:r>
      <w:r w:rsidR="000321C2">
        <w:rPr>
          <w:rFonts w:ascii="Times New Roman" w:hAnsi="Times New Roman"/>
          <w:noProof/>
          <w:sz w:val="20"/>
          <w:szCs w:val="20"/>
          <w:lang w:val="en-GB"/>
        </w:rPr>
        <w:t>5</w:t>
      </w:r>
      <w:r w:rsidRPr="00CE7D8C">
        <w:rPr>
          <w:rFonts w:ascii="Times New Roman" w:hAnsi="Times New Roman"/>
          <w:sz w:val="20"/>
          <w:szCs w:val="20"/>
          <w:lang w:val="en-GB"/>
        </w:rPr>
        <w:fldChar w:fldCharType="end"/>
      </w:r>
      <w:bookmarkEnd w:id="6"/>
      <w:r w:rsidRPr="00CE7D8C">
        <w:rPr>
          <w:rFonts w:ascii="Times New Roman" w:hAnsi="Times New Roman"/>
          <w:sz w:val="20"/>
          <w:szCs w:val="20"/>
          <w:lang w:val="en-GB"/>
        </w:rPr>
        <w:t>.</w:t>
      </w:r>
      <w:bookmarkEnd w:id="7"/>
      <w:r w:rsidR="00CE7D8C">
        <w:rPr>
          <w:rFonts w:ascii="Times New Roman" w:hAnsi="Times New Roman"/>
          <w:sz w:val="20"/>
          <w:szCs w:val="20"/>
          <w:lang w:val="en-GB"/>
        </w:rPr>
        <w:t xml:space="preserve">  </w:t>
      </w:r>
      <w:r w:rsidRPr="00CE7D8C">
        <w:rPr>
          <w:rFonts w:ascii="Times New Roman" w:hAnsi="Times New Roman"/>
          <w:sz w:val="20"/>
          <w:szCs w:val="20"/>
          <w:lang w:val="en-GB"/>
        </w:rPr>
        <w:t>The reproducibility of mercury(II) amido-iodine complex formation at two different acrylamide concentrations after hydrolysis process</w:t>
      </w:r>
    </w:p>
    <w:p w:rsidR="00F26AB7" w:rsidRDefault="00F26AB7" w:rsidP="00F26AB7">
      <w:pPr>
        <w:spacing w:after="120" w:line="240" w:lineRule="auto"/>
        <w:jc w:val="both"/>
        <w:outlineLvl w:val="0"/>
        <w:rPr>
          <w:rFonts w:ascii="Times New Roman" w:hAnsi="Times New Roman"/>
          <w:sz w:val="20"/>
          <w:szCs w:val="20"/>
          <w:lang w:val="en-GB"/>
        </w:rPr>
      </w:pPr>
    </w:p>
    <w:p w:rsidR="008E331F" w:rsidRDefault="00F26AB7" w:rsidP="008E331F">
      <w:pPr>
        <w:spacing w:after="0" w:line="240" w:lineRule="auto"/>
        <w:jc w:val="both"/>
        <w:rPr>
          <w:rFonts w:ascii="Times New Roman" w:hAnsi="Times New Roman"/>
          <w:sz w:val="20"/>
          <w:szCs w:val="20"/>
          <w:lang w:val="en-GB"/>
        </w:rPr>
      </w:pPr>
      <w:r w:rsidRPr="00F26AB7">
        <w:rPr>
          <w:rFonts w:ascii="Times New Roman" w:hAnsi="Times New Roman"/>
          <w:sz w:val="20"/>
          <w:szCs w:val="20"/>
          <w:lang w:val="en-GB"/>
        </w:rPr>
        <w:t xml:space="preserve">The absorbance of mercury(II) amido-iodide increased with the increasing concentration of acrylamide as shown in </w:t>
      </w:r>
    </w:p>
    <w:p w:rsidR="00F26AB7" w:rsidRPr="00F26AB7" w:rsidRDefault="008E331F" w:rsidP="00F26AB7">
      <w:pPr>
        <w:spacing w:after="0" w:line="240" w:lineRule="auto"/>
        <w:jc w:val="both"/>
        <w:outlineLvl w:val="0"/>
        <w:rPr>
          <w:rFonts w:ascii="Times New Roman" w:hAnsi="Times New Roman"/>
          <w:sz w:val="20"/>
          <w:szCs w:val="20"/>
          <w:lang w:val="en-GB"/>
        </w:rPr>
      </w:pPr>
      <w:r>
        <w:rPr>
          <w:rFonts w:ascii="Times New Roman" w:hAnsi="Times New Roman"/>
          <w:sz w:val="20"/>
          <w:szCs w:val="20"/>
          <w:lang w:val="en-GB"/>
        </w:rPr>
        <w:t>Figure 6</w:t>
      </w:r>
      <w:r w:rsidR="00F26AB7" w:rsidRPr="00F26AB7">
        <w:rPr>
          <w:rFonts w:ascii="Times New Roman" w:hAnsi="Times New Roman"/>
          <w:sz w:val="20"/>
          <w:szCs w:val="20"/>
          <w:lang w:val="en-GB"/>
        </w:rPr>
        <w:t>. This is due to the increase in ammonia produced during hydrolysis, hence it is expected that more mercury(II) amido-iodine complex are formed as the absorbance increase. A linear dynamic range was obtained with the acrylamide range of 0–10 ppm. The calculated LOD for this method (the concentration of sample that yields a detector equal to three times the detector noise) was 0.074 ppm. This method performs better when compared with the work done by Silva et al. [14] where amidase was used to hydrolyse acrylamide and the generated ammonia was detected using ion selective electrode. The reported dynamic range was 7.1–284.3 ppm with the LOD of 3.2 ppm [14].</w:t>
      </w: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r w:rsidRPr="00CE7D8C">
        <w:rPr>
          <w:rFonts w:ascii="Times New Roman" w:hAnsi="Times New Roman"/>
          <w:noProof/>
          <w:sz w:val="20"/>
          <w:szCs w:val="20"/>
          <w:lang w:bidi="ar-SA"/>
        </w:rPr>
        <w:lastRenderedPageBreak/>
        <w:drawing>
          <wp:anchor distT="0" distB="0" distL="114300" distR="114300" simplePos="0" relativeHeight="251660800" behindDoc="0" locked="0" layoutInCell="1" allowOverlap="1" wp14:anchorId="766E48BA" wp14:editId="7FE90A04">
            <wp:simplePos x="0" y="0"/>
            <wp:positionH relativeFrom="column">
              <wp:posOffset>876935</wp:posOffset>
            </wp:positionH>
            <wp:positionV relativeFrom="paragraph">
              <wp:posOffset>-2540</wp:posOffset>
            </wp:positionV>
            <wp:extent cx="4212590" cy="2266315"/>
            <wp:effectExtent l="0" t="0" r="16510" b="19685"/>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B643C1" w:rsidRPr="00CE7D8C" w:rsidRDefault="00B643C1" w:rsidP="00CE7D8C">
      <w:pPr>
        <w:spacing w:after="0" w:line="240" w:lineRule="auto"/>
        <w:jc w:val="both"/>
        <w:rPr>
          <w:rFonts w:ascii="Times New Roman" w:hAnsi="Times New Roman"/>
          <w:sz w:val="20"/>
          <w:szCs w:val="20"/>
          <w:lang w:val="en-GB"/>
        </w:rPr>
      </w:pPr>
      <w:bookmarkStart w:id="8" w:name="_Ref511812303"/>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p>
    <w:p w:rsidR="00B643C1" w:rsidRPr="00CE7D8C" w:rsidRDefault="00B643C1" w:rsidP="00CE7D8C">
      <w:pPr>
        <w:spacing w:after="0" w:line="240" w:lineRule="auto"/>
        <w:ind w:left="900" w:hanging="900"/>
        <w:jc w:val="both"/>
        <w:rPr>
          <w:rFonts w:ascii="Times New Roman" w:hAnsi="Times New Roman"/>
          <w:sz w:val="20"/>
          <w:szCs w:val="20"/>
          <w:lang w:val="en-GB"/>
        </w:rPr>
      </w:pPr>
      <w:r w:rsidRPr="00CE7D8C">
        <w:rPr>
          <w:rFonts w:ascii="Times New Roman" w:hAnsi="Times New Roman"/>
          <w:sz w:val="20"/>
          <w:szCs w:val="20"/>
          <w:lang w:val="en-GB"/>
        </w:rPr>
        <w:t xml:space="preserve">Figure </w:t>
      </w:r>
      <w:r w:rsidRPr="00CE7D8C">
        <w:rPr>
          <w:rFonts w:ascii="Times New Roman" w:hAnsi="Times New Roman"/>
          <w:sz w:val="20"/>
          <w:szCs w:val="20"/>
          <w:lang w:val="en-GB"/>
        </w:rPr>
        <w:fldChar w:fldCharType="begin"/>
      </w:r>
      <w:r w:rsidRPr="00CE7D8C">
        <w:rPr>
          <w:rFonts w:ascii="Times New Roman" w:hAnsi="Times New Roman"/>
          <w:sz w:val="20"/>
          <w:szCs w:val="20"/>
          <w:lang w:val="en-GB"/>
        </w:rPr>
        <w:instrText xml:space="preserve"> SEQ Figure \* ARABIC </w:instrText>
      </w:r>
      <w:r w:rsidRPr="00CE7D8C">
        <w:rPr>
          <w:rFonts w:ascii="Times New Roman" w:hAnsi="Times New Roman"/>
          <w:sz w:val="20"/>
          <w:szCs w:val="20"/>
          <w:lang w:val="en-GB"/>
        </w:rPr>
        <w:fldChar w:fldCharType="separate"/>
      </w:r>
      <w:r w:rsidR="000321C2">
        <w:rPr>
          <w:rFonts w:ascii="Times New Roman" w:hAnsi="Times New Roman"/>
          <w:noProof/>
          <w:sz w:val="20"/>
          <w:szCs w:val="20"/>
          <w:lang w:val="en-GB"/>
        </w:rPr>
        <w:t>6</w:t>
      </w:r>
      <w:r w:rsidRPr="00CE7D8C">
        <w:rPr>
          <w:rFonts w:ascii="Times New Roman" w:hAnsi="Times New Roman"/>
          <w:sz w:val="20"/>
          <w:szCs w:val="20"/>
          <w:lang w:val="en-GB"/>
        </w:rPr>
        <w:fldChar w:fldCharType="end"/>
      </w:r>
      <w:bookmarkEnd w:id="8"/>
      <w:r w:rsidRPr="00CE7D8C">
        <w:rPr>
          <w:rFonts w:ascii="Times New Roman" w:hAnsi="Times New Roman"/>
          <w:sz w:val="20"/>
          <w:szCs w:val="20"/>
          <w:lang w:val="en-GB"/>
        </w:rPr>
        <w:t xml:space="preserve">. </w:t>
      </w:r>
      <w:r w:rsidR="00CE7D8C">
        <w:rPr>
          <w:rFonts w:ascii="Times New Roman" w:hAnsi="Times New Roman"/>
          <w:sz w:val="20"/>
          <w:szCs w:val="20"/>
          <w:lang w:val="en-GB"/>
        </w:rPr>
        <w:t xml:space="preserve"> </w:t>
      </w:r>
      <w:r w:rsidR="00CE7D8C">
        <w:rPr>
          <w:rFonts w:ascii="Times New Roman" w:hAnsi="Times New Roman"/>
          <w:sz w:val="20"/>
          <w:szCs w:val="20"/>
          <w:lang w:val="en-GB"/>
        </w:rPr>
        <w:tab/>
      </w:r>
      <w:r w:rsidRPr="00CE7D8C">
        <w:rPr>
          <w:rFonts w:ascii="Times New Roman" w:hAnsi="Times New Roman"/>
          <w:sz w:val="20"/>
          <w:szCs w:val="20"/>
          <w:lang w:val="en-GB"/>
        </w:rPr>
        <w:t>The response of hydrolysed acrylamide in the presence of Nessler’s reagent. Absorbance measured in wavelength of 420 nm</w:t>
      </w:r>
    </w:p>
    <w:p w:rsidR="00B643C1" w:rsidRPr="00CE7D8C" w:rsidRDefault="00B643C1" w:rsidP="00CE7D8C">
      <w:pPr>
        <w:spacing w:after="120" w:line="240" w:lineRule="auto"/>
        <w:jc w:val="both"/>
        <w:rPr>
          <w:rFonts w:ascii="Times New Roman" w:hAnsi="Times New Roman"/>
          <w:sz w:val="20"/>
          <w:szCs w:val="20"/>
          <w:lang w:val="en-GB"/>
        </w:rPr>
      </w:pPr>
    </w:p>
    <w:p w:rsidR="00B643C1" w:rsidRPr="00CE7D8C" w:rsidRDefault="00B643C1" w:rsidP="00CE7D8C">
      <w:pPr>
        <w:spacing w:after="0" w:line="240" w:lineRule="auto"/>
        <w:jc w:val="both"/>
        <w:rPr>
          <w:rFonts w:ascii="Times New Roman" w:hAnsi="Times New Roman"/>
          <w:sz w:val="20"/>
          <w:szCs w:val="20"/>
          <w:lang w:val="en-GB"/>
        </w:rPr>
      </w:pPr>
      <w:r w:rsidRPr="00CE7D8C">
        <w:rPr>
          <w:rFonts w:ascii="Times New Roman" w:hAnsi="Times New Roman"/>
          <w:sz w:val="20"/>
          <w:szCs w:val="20"/>
          <w:lang w:val="en-GB"/>
        </w:rPr>
        <w:t>Result for the studies of interference ions is shown in</w:t>
      </w:r>
      <w:r w:rsidR="00F26AB7">
        <w:rPr>
          <w:rFonts w:ascii="Times New Roman" w:hAnsi="Times New Roman"/>
          <w:sz w:val="20"/>
          <w:szCs w:val="20"/>
          <w:lang w:val="en-GB"/>
        </w:rPr>
        <w:t xml:space="preserve"> Table 1</w:t>
      </w:r>
      <w:r w:rsidRPr="00CE7D8C">
        <w:rPr>
          <w:rFonts w:ascii="Times New Roman" w:hAnsi="Times New Roman"/>
          <w:sz w:val="20"/>
          <w:szCs w:val="20"/>
          <w:lang w:val="en-GB"/>
        </w:rPr>
        <w:t>. Cations such as Na</w:t>
      </w:r>
      <w:r w:rsidRPr="00CE7D8C">
        <w:rPr>
          <w:rFonts w:ascii="Times New Roman" w:hAnsi="Times New Roman"/>
          <w:sz w:val="20"/>
          <w:szCs w:val="20"/>
          <w:vertAlign w:val="superscript"/>
          <w:lang w:val="en-GB"/>
        </w:rPr>
        <w:t>+</w:t>
      </w:r>
      <w:r w:rsidRPr="00CE7D8C">
        <w:rPr>
          <w:rFonts w:ascii="Times New Roman" w:hAnsi="Times New Roman"/>
          <w:sz w:val="20"/>
          <w:szCs w:val="20"/>
          <w:lang w:val="en-GB"/>
        </w:rPr>
        <w:t>, K</w:t>
      </w:r>
      <w:r w:rsidRPr="00CE7D8C">
        <w:rPr>
          <w:rFonts w:ascii="Times New Roman" w:hAnsi="Times New Roman"/>
          <w:sz w:val="20"/>
          <w:szCs w:val="20"/>
          <w:vertAlign w:val="superscript"/>
          <w:lang w:val="en-GB"/>
        </w:rPr>
        <w:t>+</w:t>
      </w:r>
      <w:r w:rsidRPr="00CE7D8C">
        <w:rPr>
          <w:rFonts w:ascii="Times New Roman" w:hAnsi="Times New Roman"/>
          <w:sz w:val="20"/>
          <w:szCs w:val="20"/>
          <w:lang w:val="en-GB"/>
        </w:rPr>
        <w:t>, and Ca</w:t>
      </w:r>
      <w:r w:rsidRPr="00CE7D8C">
        <w:rPr>
          <w:rFonts w:ascii="Times New Roman" w:hAnsi="Times New Roman"/>
          <w:sz w:val="20"/>
          <w:szCs w:val="20"/>
          <w:vertAlign w:val="superscript"/>
          <w:lang w:val="en-GB"/>
        </w:rPr>
        <w:t>2+</w:t>
      </w:r>
      <w:r w:rsidRPr="00CE7D8C">
        <w:rPr>
          <w:rFonts w:ascii="Times New Roman" w:hAnsi="Times New Roman"/>
          <w:sz w:val="20"/>
          <w:szCs w:val="20"/>
          <w:lang w:val="en-GB"/>
        </w:rPr>
        <w:t xml:space="preserve"> were not showing any significant interference. However, Fe</w:t>
      </w:r>
      <w:r w:rsidRPr="00CE7D8C">
        <w:rPr>
          <w:rFonts w:ascii="Times New Roman" w:hAnsi="Times New Roman"/>
          <w:sz w:val="20"/>
          <w:szCs w:val="20"/>
          <w:vertAlign w:val="superscript"/>
          <w:lang w:val="en-GB"/>
        </w:rPr>
        <w:t>3+</w:t>
      </w:r>
      <w:r w:rsidRPr="00CE7D8C">
        <w:rPr>
          <w:rFonts w:ascii="Times New Roman" w:hAnsi="Times New Roman"/>
          <w:sz w:val="20"/>
          <w:szCs w:val="20"/>
          <w:lang w:val="en-GB"/>
        </w:rPr>
        <w:t xml:space="preserve"> ion interfered when the ratio of acrylamide: interference ion greater than 1:10. This is because Fe</w:t>
      </w:r>
      <w:r w:rsidRPr="00CE7D8C">
        <w:rPr>
          <w:rFonts w:ascii="Times New Roman" w:hAnsi="Times New Roman"/>
          <w:sz w:val="20"/>
          <w:szCs w:val="20"/>
          <w:vertAlign w:val="superscript"/>
          <w:lang w:val="en-GB"/>
        </w:rPr>
        <w:t>3+</w:t>
      </w:r>
      <w:r w:rsidRPr="00CE7D8C">
        <w:rPr>
          <w:rFonts w:ascii="Times New Roman" w:hAnsi="Times New Roman"/>
          <w:sz w:val="20"/>
          <w:szCs w:val="20"/>
          <w:lang w:val="en-GB"/>
        </w:rPr>
        <w:t xml:space="preserve"> ion involved in two reactions system. First, the hydrolysis of Fe</w:t>
      </w:r>
      <w:r w:rsidRPr="00CE7D8C">
        <w:rPr>
          <w:rFonts w:ascii="Times New Roman" w:hAnsi="Times New Roman"/>
          <w:sz w:val="20"/>
          <w:szCs w:val="20"/>
          <w:vertAlign w:val="superscript"/>
          <w:lang w:val="en-GB"/>
        </w:rPr>
        <w:t>3+</w:t>
      </w:r>
      <w:r w:rsidRPr="00CE7D8C">
        <w:rPr>
          <w:rFonts w:ascii="Times New Roman" w:hAnsi="Times New Roman"/>
          <w:sz w:val="20"/>
          <w:szCs w:val="20"/>
          <w:lang w:val="en-GB"/>
        </w:rPr>
        <w:t xml:space="preserve"> ion in a base to form ferum(III) hydroxide will turns into darker colour. Second, the measured absorbance reveals that the presence of Fe</w:t>
      </w:r>
      <w:r w:rsidRPr="00CE7D8C">
        <w:rPr>
          <w:rFonts w:ascii="Times New Roman" w:hAnsi="Times New Roman"/>
          <w:sz w:val="20"/>
          <w:szCs w:val="20"/>
          <w:vertAlign w:val="superscript"/>
          <w:lang w:val="en-GB"/>
        </w:rPr>
        <w:t>3+</w:t>
      </w:r>
      <w:r w:rsidRPr="00CE7D8C">
        <w:rPr>
          <w:rFonts w:ascii="Times New Roman" w:hAnsi="Times New Roman"/>
          <w:sz w:val="20"/>
          <w:szCs w:val="20"/>
          <w:lang w:val="en-GB"/>
        </w:rPr>
        <w:t xml:space="preserve"> ion in the solution contributes to the same colour as the complex. This study also shows that Nessler’s reagent is more sensitive towards NH</w:t>
      </w:r>
      <w:r w:rsidRPr="00CE7D8C">
        <w:rPr>
          <w:rFonts w:ascii="Times New Roman" w:hAnsi="Times New Roman"/>
          <w:sz w:val="20"/>
          <w:szCs w:val="20"/>
          <w:vertAlign w:val="subscript"/>
          <w:lang w:val="en-GB"/>
        </w:rPr>
        <w:t>3</w:t>
      </w:r>
      <w:r w:rsidRPr="00CE7D8C">
        <w:rPr>
          <w:rFonts w:ascii="Times New Roman" w:hAnsi="Times New Roman"/>
          <w:sz w:val="20"/>
          <w:szCs w:val="20"/>
          <w:lang w:val="en-GB"/>
        </w:rPr>
        <w:t xml:space="preserve"> even at low concentration.</w:t>
      </w:r>
    </w:p>
    <w:p w:rsidR="00B643C1" w:rsidRPr="00CE7D8C" w:rsidRDefault="00B643C1" w:rsidP="00CE7D8C">
      <w:pPr>
        <w:spacing w:after="120" w:line="240" w:lineRule="auto"/>
        <w:jc w:val="both"/>
        <w:rPr>
          <w:rFonts w:ascii="Times New Roman" w:hAnsi="Times New Roman"/>
          <w:sz w:val="20"/>
          <w:szCs w:val="20"/>
          <w:lang w:val="en-GB"/>
        </w:rPr>
      </w:pPr>
    </w:p>
    <w:p w:rsidR="00B643C1" w:rsidRPr="00CE7D8C" w:rsidRDefault="00B643C1" w:rsidP="00CE7D8C">
      <w:pPr>
        <w:spacing w:after="120" w:line="240" w:lineRule="auto"/>
        <w:jc w:val="center"/>
        <w:rPr>
          <w:rFonts w:ascii="Times New Roman" w:hAnsi="Times New Roman"/>
          <w:sz w:val="20"/>
          <w:szCs w:val="20"/>
        </w:rPr>
      </w:pPr>
      <w:bookmarkStart w:id="9" w:name="_Ref511812829"/>
      <w:r w:rsidRPr="00CE7D8C">
        <w:rPr>
          <w:rFonts w:ascii="Times New Roman" w:hAnsi="Times New Roman"/>
          <w:sz w:val="20"/>
          <w:szCs w:val="20"/>
        </w:rPr>
        <w:t xml:space="preserve">Table </w:t>
      </w:r>
      <w:r w:rsidRPr="00CE7D8C">
        <w:rPr>
          <w:rFonts w:ascii="Times New Roman" w:hAnsi="Times New Roman"/>
          <w:sz w:val="20"/>
          <w:szCs w:val="20"/>
        </w:rPr>
        <w:fldChar w:fldCharType="begin"/>
      </w:r>
      <w:r w:rsidRPr="00CE7D8C">
        <w:rPr>
          <w:rFonts w:ascii="Times New Roman" w:hAnsi="Times New Roman"/>
          <w:sz w:val="20"/>
          <w:szCs w:val="20"/>
        </w:rPr>
        <w:instrText xml:space="preserve"> SEQ Table \* ARABIC </w:instrText>
      </w:r>
      <w:r w:rsidRPr="00CE7D8C">
        <w:rPr>
          <w:rFonts w:ascii="Times New Roman" w:hAnsi="Times New Roman"/>
          <w:sz w:val="20"/>
          <w:szCs w:val="20"/>
        </w:rPr>
        <w:fldChar w:fldCharType="separate"/>
      </w:r>
      <w:r w:rsidR="000321C2">
        <w:rPr>
          <w:rFonts w:ascii="Times New Roman" w:hAnsi="Times New Roman"/>
          <w:noProof/>
          <w:sz w:val="20"/>
          <w:szCs w:val="20"/>
        </w:rPr>
        <w:t>1</w:t>
      </w:r>
      <w:r w:rsidRPr="00CE7D8C">
        <w:rPr>
          <w:rFonts w:ascii="Times New Roman" w:hAnsi="Times New Roman"/>
          <w:sz w:val="20"/>
          <w:szCs w:val="20"/>
        </w:rPr>
        <w:fldChar w:fldCharType="end"/>
      </w:r>
      <w:bookmarkEnd w:id="9"/>
      <w:r w:rsidRPr="00CE7D8C">
        <w:rPr>
          <w:rFonts w:ascii="Times New Roman" w:hAnsi="Times New Roman"/>
          <w:sz w:val="20"/>
          <w:szCs w:val="20"/>
        </w:rPr>
        <w:t xml:space="preserve">. </w:t>
      </w:r>
      <w:r w:rsidR="009C6A42" w:rsidRPr="00CE7D8C">
        <w:rPr>
          <w:rFonts w:ascii="Times New Roman" w:hAnsi="Times New Roman"/>
          <w:sz w:val="20"/>
          <w:szCs w:val="20"/>
        </w:rPr>
        <w:t xml:space="preserve">  </w:t>
      </w:r>
      <w:r w:rsidRPr="00CE7D8C">
        <w:rPr>
          <w:rFonts w:ascii="Times New Roman" w:hAnsi="Times New Roman"/>
          <w:sz w:val="20"/>
          <w:szCs w:val="20"/>
        </w:rPr>
        <w:t>Effect of interference ions in the detection of acrylamide</w:t>
      </w:r>
    </w:p>
    <w:tbl>
      <w:tblPr>
        <w:tblStyle w:val="TableGrid"/>
        <w:tblW w:w="0" w:type="auto"/>
        <w:jc w:val="center"/>
        <w:tblInd w:w="-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2"/>
        <w:gridCol w:w="633"/>
        <w:gridCol w:w="633"/>
        <w:gridCol w:w="633"/>
        <w:gridCol w:w="666"/>
        <w:gridCol w:w="866"/>
      </w:tblGrid>
      <w:tr w:rsidR="00B643C1" w:rsidRPr="00CE7D8C" w:rsidTr="00017687">
        <w:trPr>
          <w:jc w:val="center"/>
        </w:trPr>
        <w:tc>
          <w:tcPr>
            <w:tcW w:w="2342" w:type="dxa"/>
            <w:vMerge w:val="restart"/>
            <w:tcBorders>
              <w:top w:val="single" w:sz="4" w:space="0" w:color="auto"/>
            </w:tcBorders>
            <w:vAlign w:val="center"/>
          </w:tcPr>
          <w:p w:rsidR="00B643C1" w:rsidRPr="00CE7D8C" w:rsidRDefault="00B643C1" w:rsidP="00CE7D8C">
            <w:pPr>
              <w:spacing w:after="0" w:line="240" w:lineRule="auto"/>
              <w:jc w:val="both"/>
              <w:rPr>
                <w:rFonts w:ascii="Times New Roman" w:hAnsi="Times New Roman"/>
                <w:b/>
                <w:sz w:val="20"/>
                <w:szCs w:val="20"/>
              </w:rPr>
            </w:pPr>
            <w:r w:rsidRPr="00CE7D8C">
              <w:rPr>
                <w:rFonts w:ascii="Times New Roman" w:hAnsi="Times New Roman"/>
                <w:b/>
                <w:sz w:val="20"/>
                <w:szCs w:val="20"/>
              </w:rPr>
              <w:t>Concentration Ratio</w:t>
            </w:r>
          </w:p>
        </w:tc>
        <w:tc>
          <w:tcPr>
            <w:tcW w:w="0" w:type="auto"/>
            <w:gridSpan w:val="5"/>
            <w:tcBorders>
              <w:top w:val="single" w:sz="4" w:space="0" w:color="auto"/>
              <w:bottom w:val="single" w:sz="4" w:space="0" w:color="auto"/>
            </w:tcBorders>
          </w:tcPr>
          <w:p w:rsidR="00B643C1" w:rsidRPr="00CE7D8C" w:rsidRDefault="00B643C1" w:rsidP="00CE7D8C">
            <w:pPr>
              <w:spacing w:before="60" w:after="0" w:line="240" w:lineRule="auto"/>
              <w:jc w:val="center"/>
              <w:rPr>
                <w:rFonts w:ascii="Times New Roman" w:hAnsi="Times New Roman"/>
                <w:b/>
                <w:sz w:val="20"/>
                <w:szCs w:val="20"/>
              </w:rPr>
            </w:pPr>
            <w:r w:rsidRPr="00CE7D8C">
              <w:rPr>
                <w:rFonts w:ascii="Times New Roman" w:hAnsi="Times New Roman"/>
                <w:b/>
                <w:sz w:val="20"/>
                <w:szCs w:val="20"/>
              </w:rPr>
              <w:t>Relative Ratio (%)</w:t>
            </w:r>
          </w:p>
        </w:tc>
      </w:tr>
      <w:tr w:rsidR="00B643C1" w:rsidRPr="00CE7D8C" w:rsidTr="00017687">
        <w:trPr>
          <w:jc w:val="center"/>
        </w:trPr>
        <w:tc>
          <w:tcPr>
            <w:tcW w:w="2342" w:type="dxa"/>
            <w:vMerge/>
            <w:tcBorders>
              <w:bottom w:val="single" w:sz="4" w:space="0" w:color="auto"/>
            </w:tcBorders>
          </w:tcPr>
          <w:p w:rsidR="00B643C1" w:rsidRPr="00CE7D8C" w:rsidRDefault="00B643C1" w:rsidP="00CE7D8C">
            <w:pPr>
              <w:spacing w:after="0" w:line="240" w:lineRule="auto"/>
              <w:jc w:val="both"/>
              <w:rPr>
                <w:rFonts w:ascii="Times New Roman" w:hAnsi="Times New Roman"/>
                <w:b/>
                <w:sz w:val="20"/>
                <w:szCs w:val="20"/>
              </w:rPr>
            </w:pPr>
          </w:p>
        </w:tc>
        <w:tc>
          <w:tcPr>
            <w:tcW w:w="0" w:type="auto"/>
            <w:tcBorders>
              <w:top w:val="single" w:sz="4" w:space="0" w:color="auto"/>
              <w:bottom w:val="single" w:sz="4" w:space="0" w:color="auto"/>
            </w:tcBorders>
          </w:tcPr>
          <w:p w:rsidR="00B643C1" w:rsidRPr="00CE7D8C" w:rsidRDefault="00B643C1" w:rsidP="00CE7D8C">
            <w:pPr>
              <w:spacing w:after="0" w:line="240" w:lineRule="auto"/>
              <w:jc w:val="center"/>
              <w:rPr>
                <w:rFonts w:ascii="Times New Roman" w:hAnsi="Times New Roman"/>
                <w:b/>
                <w:sz w:val="20"/>
                <w:szCs w:val="20"/>
              </w:rPr>
            </w:pPr>
            <w:r w:rsidRPr="00CE7D8C">
              <w:rPr>
                <w:rFonts w:ascii="Times New Roman" w:hAnsi="Times New Roman"/>
                <w:b/>
                <w:sz w:val="20"/>
                <w:szCs w:val="20"/>
              </w:rPr>
              <w:t>Na</w:t>
            </w:r>
            <w:r w:rsidRPr="00CE7D8C">
              <w:rPr>
                <w:rFonts w:ascii="Times New Roman" w:hAnsi="Times New Roman"/>
                <w:b/>
                <w:sz w:val="20"/>
                <w:szCs w:val="20"/>
                <w:vertAlign w:val="superscript"/>
              </w:rPr>
              <w:t>+</w:t>
            </w:r>
          </w:p>
        </w:tc>
        <w:tc>
          <w:tcPr>
            <w:tcW w:w="0" w:type="auto"/>
            <w:tcBorders>
              <w:top w:val="single" w:sz="4" w:space="0" w:color="auto"/>
              <w:bottom w:val="single" w:sz="4" w:space="0" w:color="auto"/>
            </w:tcBorders>
          </w:tcPr>
          <w:p w:rsidR="00B643C1" w:rsidRPr="00CE7D8C" w:rsidRDefault="00B643C1" w:rsidP="00CE7D8C">
            <w:pPr>
              <w:spacing w:after="0" w:line="240" w:lineRule="auto"/>
              <w:jc w:val="center"/>
              <w:rPr>
                <w:rFonts w:ascii="Times New Roman" w:hAnsi="Times New Roman"/>
                <w:b/>
                <w:sz w:val="20"/>
                <w:szCs w:val="20"/>
              </w:rPr>
            </w:pPr>
            <w:r w:rsidRPr="00CE7D8C">
              <w:rPr>
                <w:rFonts w:ascii="Times New Roman" w:hAnsi="Times New Roman"/>
                <w:b/>
                <w:sz w:val="20"/>
                <w:szCs w:val="20"/>
              </w:rPr>
              <w:t>K</w:t>
            </w:r>
            <w:r w:rsidRPr="00CE7D8C">
              <w:rPr>
                <w:rFonts w:ascii="Times New Roman" w:hAnsi="Times New Roman"/>
                <w:b/>
                <w:sz w:val="20"/>
                <w:szCs w:val="20"/>
                <w:vertAlign w:val="superscript"/>
              </w:rPr>
              <w:t>+</w:t>
            </w:r>
          </w:p>
        </w:tc>
        <w:tc>
          <w:tcPr>
            <w:tcW w:w="0" w:type="auto"/>
            <w:tcBorders>
              <w:top w:val="single" w:sz="4" w:space="0" w:color="auto"/>
              <w:bottom w:val="single" w:sz="4" w:space="0" w:color="auto"/>
            </w:tcBorders>
          </w:tcPr>
          <w:p w:rsidR="00B643C1" w:rsidRPr="00CE7D8C" w:rsidRDefault="00B643C1" w:rsidP="00CE7D8C">
            <w:pPr>
              <w:spacing w:after="0" w:line="240" w:lineRule="auto"/>
              <w:jc w:val="center"/>
              <w:rPr>
                <w:rFonts w:ascii="Times New Roman" w:hAnsi="Times New Roman"/>
                <w:b/>
                <w:sz w:val="20"/>
                <w:szCs w:val="20"/>
              </w:rPr>
            </w:pPr>
            <w:r w:rsidRPr="00CE7D8C">
              <w:rPr>
                <w:rFonts w:ascii="Times New Roman" w:hAnsi="Times New Roman"/>
                <w:b/>
                <w:sz w:val="20"/>
                <w:szCs w:val="20"/>
              </w:rPr>
              <w:t>Ca</w:t>
            </w:r>
            <w:r w:rsidRPr="00CE7D8C">
              <w:rPr>
                <w:rFonts w:ascii="Times New Roman" w:hAnsi="Times New Roman"/>
                <w:b/>
                <w:sz w:val="20"/>
                <w:szCs w:val="20"/>
                <w:vertAlign w:val="superscript"/>
              </w:rPr>
              <w:t>2+</w:t>
            </w:r>
          </w:p>
        </w:tc>
        <w:tc>
          <w:tcPr>
            <w:tcW w:w="0" w:type="auto"/>
            <w:tcBorders>
              <w:top w:val="single" w:sz="4" w:space="0" w:color="auto"/>
              <w:bottom w:val="single" w:sz="4" w:space="0" w:color="auto"/>
            </w:tcBorders>
          </w:tcPr>
          <w:p w:rsidR="00B643C1" w:rsidRPr="00CE7D8C" w:rsidRDefault="00B643C1" w:rsidP="00CE7D8C">
            <w:pPr>
              <w:spacing w:after="0" w:line="240" w:lineRule="auto"/>
              <w:jc w:val="center"/>
              <w:rPr>
                <w:rFonts w:ascii="Times New Roman" w:hAnsi="Times New Roman"/>
                <w:b/>
                <w:sz w:val="20"/>
                <w:szCs w:val="20"/>
              </w:rPr>
            </w:pPr>
            <w:r w:rsidRPr="00CE7D8C">
              <w:rPr>
                <w:rFonts w:ascii="Times New Roman" w:hAnsi="Times New Roman"/>
                <w:b/>
                <w:sz w:val="20"/>
                <w:szCs w:val="20"/>
              </w:rPr>
              <w:t>Fe</w:t>
            </w:r>
            <w:r w:rsidRPr="00CE7D8C">
              <w:rPr>
                <w:rFonts w:ascii="Times New Roman" w:hAnsi="Times New Roman"/>
                <w:b/>
                <w:sz w:val="20"/>
                <w:szCs w:val="20"/>
                <w:vertAlign w:val="superscript"/>
              </w:rPr>
              <w:t>3+</w:t>
            </w:r>
          </w:p>
        </w:tc>
        <w:tc>
          <w:tcPr>
            <w:tcW w:w="0" w:type="auto"/>
            <w:tcBorders>
              <w:top w:val="single" w:sz="4" w:space="0" w:color="auto"/>
              <w:bottom w:val="single" w:sz="4" w:space="0" w:color="auto"/>
            </w:tcBorders>
          </w:tcPr>
          <w:p w:rsidR="00B643C1" w:rsidRPr="00CE7D8C" w:rsidRDefault="00B643C1" w:rsidP="00CE7D8C">
            <w:pPr>
              <w:spacing w:after="60" w:line="240" w:lineRule="auto"/>
              <w:jc w:val="center"/>
              <w:rPr>
                <w:rFonts w:ascii="Times New Roman" w:hAnsi="Times New Roman"/>
                <w:b/>
                <w:sz w:val="20"/>
                <w:szCs w:val="20"/>
              </w:rPr>
            </w:pPr>
            <w:r w:rsidRPr="00CE7D8C">
              <w:rPr>
                <w:rFonts w:ascii="Times New Roman" w:hAnsi="Times New Roman"/>
                <w:b/>
                <w:sz w:val="20"/>
                <w:szCs w:val="20"/>
              </w:rPr>
              <w:t>NH</w:t>
            </w:r>
            <w:r w:rsidRPr="00CE7D8C">
              <w:rPr>
                <w:rFonts w:ascii="Times New Roman" w:hAnsi="Times New Roman"/>
                <w:b/>
                <w:sz w:val="20"/>
                <w:szCs w:val="20"/>
                <w:vertAlign w:val="subscript"/>
              </w:rPr>
              <w:t>3</w:t>
            </w:r>
          </w:p>
        </w:tc>
      </w:tr>
      <w:tr w:rsidR="00B643C1" w:rsidRPr="00CE7D8C" w:rsidTr="00017687">
        <w:trPr>
          <w:jc w:val="center"/>
        </w:trPr>
        <w:tc>
          <w:tcPr>
            <w:tcW w:w="2342" w:type="dxa"/>
            <w:tcBorders>
              <w:top w:val="single" w:sz="4" w:space="0" w:color="auto"/>
              <w:bottom w:val="single" w:sz="4" w:space="0" w:color="auto"/>
            </w:tcBorders>
          </w:tcPr>
          <w:p w:rsidR="00B643C1" w:rsidRPr="00CE7D8C" w:rsidRDefault="00B643C1" w:rsidP="00017687">
            <w:pPr>
              <w:spacing w:before="60" w:after="0" w:line="240" w:lineRule="auto"/>
              <w:jc w:val="both"/>
              <w:rPr>
                <w:rFonts w:ascii="Times New Roman" w:hAnsi="Times New Roman"/>
                <w:sz w:val="20"/>
                <w:szCs w:val="20"/>
              </w:rPr>
            </w:pPr>
            <w:r w:rsidRPr="00CE7D8C">
              <w:rPr>
                <w:rFonts w:ascii="Times New Roman" w:hAnsi="Times New Roman"/>
                <w:sz w:val="20"/>
                <w:szCs w:val="20"/>
              </w:rPr>
              <w:t>1:0.1</w:t>
            </w:r>
          </w:p>
          <w:p w:rsidR="00B643C1" w:rsidRPr="00CE7D8C" w:rsidRDefault="00B643C1" w:rsidP="00017687">
            <w:pPr>
              <w:spacing w:before="60" w:after="0" w:line="240" w:lineRule="auto"/>
              <w:jc w:val="both"/>
              <w:rPr>
                <w:rFonts w:ascii="Times New Roman" w:hAnsi="Times New Roman"/>
                <w:sz w:val="20"/>
                <w:szCs w:val="20"/>
              </w:rPr>
            </w:pPr>
            <w:r w:rsidRPr="00CE7D8C">
              <w:rPr>
                <w:rFonts w:ascii="Times New Roman" w:hAnsi="Times New Roman"/>
                <w:sz w:val="20"/>
                <w:szCs w:val="20"/>
              </w:rPr>
              <w:t>1:1</w:t>
            </w:r>
          </w:p>
          <w:p w:rsidR="00B643C1" w:rsidRPr="00CE7D8C" w:rsidRDefault="00B643C1" w:rsidP="00017687">
            <w:pPr>
              <w:spacing w:before="60" w:after="60" w:line="240" w:lineRule="auto"/>
              <w:jc w:val="both"/>
              <w:rPr>
                <w:rFonts w:ascii="Times New Roman" w:hAnsi="Times New Roman"/>
                <w:sz w:val="20"/>
                <w:szCs w:val="20"/>
              </w:rPr>
            </w:pPr>
            <w:r w:rsidRPr="00CE7D8C">
              <w:rPr>
                <w:rFonts w:ascii="Times New Roman" w:hAnsi="Times New Roman"/>
                <w:sz w:val="20"/>
                <w:szCs w:val="20"/>
              </w:rPr>
              <w:t>1:10</w:t>
            </w:r>
          </w:p>
        </w:tc>
        <w:tc>
          <w:tcPr>
            <w:tcW w:w="0" w:type="auto"/>
            <w:tcBorders>
              <w:top w:val="single" w:sz="4" w:space="0" w:color="auto"/>
              <w:bottom w:val="single" w:sz="4" w:space="0" w:color="auto"/>
            </w:tcBorders>
          </w:tcPr>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-2.17</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-2.58</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-5.29</w:t>
            </w:r>
          </w:p>
        </w:tc>
        <w:tc>
          <w:tcPr>
            <w:tcW w:w="0" w:type="auto"/>
            <w:tcBorders>
              <w:top w:val="single" w:sz="4" w:space="0" w:color="auto"/>
              <w:bottom w:val="single" w:sz="4" w:space="0" w:color="auto"/>
            </w:tcBorders>
          </w:tcPr>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-4.97</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-6.03</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-2.50</w:t>
            </w:r>
          </w:p>
        </w:tc>
        <w:tc>
          <w:tcPr>
            <w:tcW w:w="0" w:type="auto"/>
            <w:tcBorders>
              <w:top w:val="single" w:sz="4" w:space="0" w:color="auto"/>
              <w:bottom w:val="single" w:sz="4" w:space="0" w:color="auto"/>
            </w:tcBorders>
          </w:tcPr>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-4.70</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-2.98</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-5.78</w:t>
            </w:r>
          </w:p>
        </w:tc>
        <w:tc>
          <w:tcPr>
            <w:tcW w:w="0" w:type="auto"/>
            <w:tcBorders>
              <w:top w:val="single" w:sz="4" w:space="0" w:color="auto"/>
              <w:bottom w:val="single" w:sz="4" w:space="0" w:color="auto"/>
            </w:tcBorders>
          </w:tcPr>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-9.49</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4.04</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12.16</w:t>
            </w:r>
          </w:p>
        </w:tc>
        <w:tc>
          <w:tcPr>
            <w:tcW w:w="0" w:type="auto"/>
            <w:tcBorders>
              <w:top w:val="single" w:sz="4" w:space="0" w:color="auto"/>
              <w:bottom w:val="single" w:sz="4" w:space="0" w:color="auto"/>
            </w:tcBorders>
          </w:tcPr>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51.27</w:t>
            </w:r>
          </w:p>
          <w:p w:rsidR="00B643C1" w:rsidRPr="00CE7D8C" w:rsidRDefault="00B643C1" w:rsidP="00017687">
            <w:pPr>
              <w:spacing w:before="60" w:after="0" w:line="240" w:lineRule="auto"/>
              <w:jc w:val="center"/>
              <w:rPr>
                <w:rFonts w:ascii="Times New Roman" w:hAnsi="Times New Roman"/>
                <w:sz w:val="20"/>
                <w:szCs w:val="20"/>
              </w:rPr>
            </w:pPr>
            <w:r w:rsidRPr="00CE7D8C">
              <w:rPr>
                <w:rFonts w:ascii="Times New Roman" w:hAnsi="Times New Roman"/>
                <w:sz w:val="20"/>
                <w:szCs w:val="20"/>
              </w:rPr>
              <w:t>437.89</w:t>
            </w:r>
          </w:p>
          <w:p w:rsidR="00B643C1" w:rsidRPr="00CE7D8C" w:rsidRDefault="00B643C1" w:rsidP="00017687">
            <w:pPr>
              <w:spacing w:before="60" w:after="60" w:line="240" w:lineRule="auto"/>
              <w:jc w:val="center"/>
              <w:rPr>
                <w:rFonts w:ascii="Times New Roman" w:hAnsi="Times New Roman"/>
                <w:sz w:val="20"/>
                <w:szCs w:val="20"/>
              </w:rPr>
            </w:pPr>
            <w:r w:rsidRPr="00CE7D8C">
              <w:rPr>
                <w:rFonts w:ascii="Times New Roman" w:hAnsi="Times New Roman"/>
                <w:sz w:val="20"/>
                <w:szCs w:val="20"/>
              </w:rPr>
              <w:t>4051.35</w:t>
            </w:r>
          </w:p>
        </w:tc>
      </w:tr>
    </w:tbl>
    <w:p w:rsidR="00B643C1" w:rsidRPr="00CE7D8C" w:rsidRDefault="00B643C1" w:rsidP="00017687">
      <w:pPr>
        <w:spacing w:after="0" w:line="240" w:lineRule="auto"/>
        <w:jc w:val="center"/>
        <w:rPr>
          <w:rFonts w:ascii="Times New Roman" w:hAnsi="Times New Roman"/>
          <w:sz w:val="20"/>
          <w:szCs w:val="20"/>
          <w:lang w:val="en-GB"/>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E76C7" w:rsidRPr="003E76C7" w:rsidRDefault="003E76C7" w:rsidP="003E76C7">
      <w:pPr>
        <w:spacing w:after="0" w:line="240" w:lineRule="auto"/>
        <w:jc w:val="both"/>
        <w:outlineLvl w:val="0"/>
        <w:rPr>
          <w:rFonts w:ascii="Times New Roman" w:hAnsi="Times New Roman"/>
          <w:sz w:val="20"/>
          <w:szCs w:val="20"/>
          <w:lang w:val="en-GB"/>
        </w:rPr>
      </w:pPr>
      <w:r w:rsidRPr="003E76C7">
        <w:rPr>
          <w:rFonts w:ascii="Times New Roman" w:hAnsi="Times New Roman"/>
          <w:sz w:val="20"/>
          <w:szCs w:val="20"/>
          <w:lang w:val="en-GB"/>
        </w:rPr>
        <w:t>Optical quantitative determination of acrylamide based on Nessler’s reagent was studied. Acrylamide undergoes hydrolysis process to produce ammonia and corresponding acid salt. The concentration of base used and time for hydrolysis were determined and optimised. Nessler’s reagent was chosen as it performs well in the formation of mercury(II) amido-iodine with ammonia. In this study, the generated ammonia after hydrolysis is directly proportional with acrylamide in the solution. Therefore, this base hydrolysis process for acrylamide explored in this study is considered to be a potential quantification of acrylamide. Thus, this study can be explored further to develop an optical sensor.</w:t>
      </w:r>
    </w:p>
    <w:p w:rsidR="003E76C7" w:rsidRPr="003E76C7" w:rsidRDefault="003E76C7" w:rsidP="003E76C7">
      <w:pPr>
        <w:spacing w:after="0" w:line="240" w:lineRule="auto"/>
        <w:jc w:val="center"/>
        <w:outlineLvl w:val="0"/>
        <w:rPr>
          <w:rFonts w:ascii="Times New Roman" w:hAnsi="Times New Roman"/>
          <w:sz w:val="20"/>
          <w:szCs w:val="20"/>
          <w:lang w:val="en-GB"/>
        </w:rPr>
      </w:pPr>
    </w:p>
    <w:p w:rsidR="003E76C7" w:rsidRPr="003E76C7" w:rsidRDefault="003E76C7" w:rsidP="003E76C7">
      <w:pPr>
        <w:spacing w:after="0" w:line="240" w:lineRule="auto"/>
        <w:jc w:val="center"/>
        <w:outlineLvl w:val="0"/>
        <w:rPr>
          <w:rFonts w:ascii="Times New Roman" w:hAnsi="Times New Roman"/>
          <w:b/>
          <w:sz w:val="20"/>
          <w:szCs w:val="20"/>
          <w:lang w:val="en-GB"/>
        </w:rPr>
      </w:pPr>
      <w:r w:rsidRPr="003E76C7">
        <w:rPr>
          <w:rFonts w:ascii="Times New Roman" w:hAnsi="Times New Roman"/>
          <w:b/>
          <w:sz w:val="20"/>
          <w:szCs w:val="20"/>
          <w:lang w:val="en-GB"/>
        </w:rPr>
        <w:t>Acknowledgement</w:t>
      </w:r>
    </w:p>
    <w:p w:rsidR="003E76C7" w:rsidRPr="003E76C7" w:rsidRDefault="003E76C7" w:rsidP="003E76C7">
      <w:pPr>
        <w:spacing w:after="0" w:line="240" w:lineRule="auto"/>
        <w:jc w:val="both"/>
        <w:outlineLvl w:val="0"/>
        <w:rPr>
          <w:rFonts w:ascii="Times New Roman" w:hAnsi="Times New Roman"/>
          <w:sz w:val="20"/>
          <w:szCs w:val="20"/>
          <w:lang w:val="en-GB"/>
        </w:rPr>
      </w:pPr>
      <w:r w:rsidRPr="003E76C7">
        <w:rPr>
          <w:rFonts w:ascii="Times New Roman" w:hAnsi="Times New Roman"/>
          <w:sz w:val="20"/>
          <w:szCs w:val="20"/>
          <w:lang w:val="en-GB"/>
        </w:rPr>
        <w:t>The authors gratefully acknowledge the financial support received from the Ministry of Education to Universiti Sains Islam Malaysia through research grant USIM/FRGS-FST-5-50311 and Universiti Kebangsaan Malaysia via grants DIP-2014-016 and DPP-2015-064. We would also like to acknowledge the Ministry of Higher Education for the MyBrain 15 scholarship to Yee-May Chong.</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93612A" w:rsidRPr="003E76C7" w:rsidRDefault="006768E9" w:rsidP="003E76C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sz w:val="20"/>
          <w:szCs w:val="20"/>
          <w:lang w:val="en-GB"/>
        </w:rPr>
        <w:fldChar w:fldCharType="begin"/>
      </w:r>
      <w:r w:rsidRPr="003E76C7">
        <w:rPr>
          <w:rFonts w:ascii="Times New Roman" w:hAnsi="Times New Roman"/>
          <w:sz w:val="20"/>
          <w:szCs w:val="20"/>
          <w:lang w:val="en-GB"/>
        </w:rPr>
        <w:instrText xml:space="preserve"> ADDIN EN.REFLIST </w:instrText>
      </w:r>
      <w:r w:rsidRPr="003E76C7">
        <w:rPr>
          <w:rFonts w:ascii="Times New Roman" w:hAnsi="Times New Roman"/>
          <w:sz w:val="20"/>
          <w:szCs w:val="20"/>
          <w:lang w:val="en-GB"/>
        </w:rPr>
        <w:fldChar w:fldCharType="separate"/>
      </w:r>
      <w:bookmarkStart w:id="10" w:name="_ENREF_1"/>
      <w:r w:rsidRPr="003E76C7">
        <w:rPr>
          <w:rFonts w:ascii="Times New Roman" w:hAnsi="Times New Roman"/>
          <w:noProof/>
          <w:sz w:val="20"/>
          <w:szCs w:val="20"/>
          <w:lang w:val="en-GB"/>
        </w:rPr>
        <w:t xml:space="preserve">Tareke, E., Rydberg, P., Karlsson, P., Eriksson, S. and Törnqvist, M. (2002). Analysis of acrylamide, a carcinogen </w:t>
      </w:r>
      <w:r w:rsidR="003E76C7" w:rsidRPr="003E76C7">
        <w:rPr>
          <w:rFonts w:ascii="Times New Roman" w:hAnsi="Times New Roman"/>
          <w:noProof/>
          <w:sz w:val="20"/>
          <w:szCs w:val="20"/>
          <w:lang w:val="en-GB"/>
        </w:rPr>
        <w:t xml:space="preserve"> </w:t>
      </w:r>
      <w:r w:rsidRPr="003E76C7">
        <w:rPr>
          <w:rFonts w:ascii="Times New Roman" w:hAnsi="Times New Roman"/>
          <w:noProof/>
          <w:sz w:val="20"/>
          <w:szCs w:val="20"/>
          <w:lang w:val="en-GB"/>
        </w:rPr>
        <w:t xml:space="preserve">formed </w:t>
      </w:r>
      <w:r w:rsidR="003E76C7" w:rsidRPr="003E76C7">
        <w:rPr>
          <w:rFonts w:ascii="Times New Roman" w:hAnsi="Times New Roman"/>
          <w:noProof/>
          <w:sz w:val="20"/>
          <w:szCs w:val="20"/>
          <w:lang w:val="en-GB"/>
        </w:rPr>
        <w:t xml:space="preserve"> </w:t>
      </w:r>
      <w:r w:rsidRPr="003E76C7">
        <w:rPr>
          <w:rFonts w:ascii="Times New Roman" w:hAnsi="Times New Roman"/>
          <w:noProof/>
          <w:sz w:val="20"/>
          <w:szCs w:val="20"/>
          <w:lang w:val="en-GB"/>
        </w:rPr>
        <w:t xml:space="preserve">in </w:t>
      </w:r>
      <w:r w:rsidR="003E76C7" w:rsidRPr="003E76C7">
        <w:rPr>
          <w:rFonts w:ascii="Times New Roman" w:hAnsi="Times New Roman"/>
          <w:noProof/>
          <w:sz w:val="20"/>
          <w:szCs w:val="20"/>
          <w:lang w:val="en-GB"/>
        </w:rPr>
        <w:t xml:space="preserve"> </w:t>
      </w:r>
      <w:r w:rsidRPr="003E76C7">
        <w:rPr>
          <w:rFonts w:ascii="Times New Roman" w:hAnsi="Times New Roman"/>
          <w:noProof/>
          <w:sz w:val="20"/>
          <w:szCs w:val="20"/>
          <w:lang w:val="en-GB"/>
        </w:rPr>
        <w:t xml:space="preserve">heated </w:t>
      </w:r>
      <w:r w:rsidR="003E76C7" w:rsidRPr="003E76C7">
        <w:rPr>
          <w:rFonts w:ascii="Times New Roman" w:hAnsi="Times New Roman"/>
          <w:noProof/>
          <w:sz w:val="20"/>
          <w:szCs w:val="20"/>
          <w:lang w:val="en-GB"/>
        </w:rPr>
        <w:t xml:space="preserve"> </w:t>
      </w:r>
      <w:r w:rsidRPr="003E76C7">
        <w:rPr>
          <w:rFonts w:ascii="Times New Roman" w:hAnsi="Times New Roman"/>
          <w:noProof/>
          <w:sz w:val="20"/>
          <w:szCs w:val="20"/>
          <w:lang w:val="en-GB"/>
        </w:rPr>
        <w:t xml:space="preserve">foodstuffs. </w:t>
      </w:r>
      <w:r w:rsidR="003E76C7" w:rsidRPr="003E76C7">
        <w:rPr>
          <w:rFonts w:ascii="Times New Roman" w:hAnsi="Times New Roman"/>
          <w:noProof/>
          <w:sz w:val="20"/>
          <w:szCs w:val="20"/>
          <w:lang w:val="en-GB"/>
        </w:rPr>
        <w:t xml:space="preserve"> </w:t>
      </w:r>
      <w:r w:rsidRPr="003E76C7">
        <w:rPr>
          <w:rFonts w:ascii="Times New Roman" w:hAnsi="Times New Roman"/>
          <w:i/>
          <w:noProof/>
          <w:sz w:val="20"/>
          <w:szCs w:val="20"/>
          <w:lang w:val="en-GB"/>
        </w:rPr>
        <w:t>Journal of Agricultural and Food Chemistry</w:t>
      </w:r>
      <w:r w:rsidRPr="003E76C7">
        <w:rPr>
          <w:rFonts w:ascii="Times New Roman" w:hAnsi="Times New Roman"/>
          <w:noProof/>
          <w:sz w:val="20"/>
          <w:szCs w:val="20"/>
          <w:lang w:val="en-GB"/>
        </w:rPr>
        <w:t>, 50: 4998-5006.</w:t>
      </w:r>
      <w:bookmarkStart w:id="11" w:name="_ENREF_2"/>
      <w:bookmarkEnd w:id="10"/>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Zyzak, D. V., Sanders, R. A., Stojanovic, M., Tallmadge, D. H., Eberhart, B. L., Ewald, D. K., Gruber, D. C., Morsch, T. R., Strothers, M. A., Rizzi, G. P. and Villagran, M. D. (2003). Acrylamide formation mechanism in heated foods. </w:t>
      </w:r>
      <w:r w:rsidRPr="003E76C7">
        <w:rPr>
          <w:rFonts w:ascii="Times New Roman" w:hAnsi="Times New Roman"/>
          <w:i/>
          <w:noProof/>
          <w:sz w:val="20"/>
          <w:szCs w:val="20"/>
          <w:lang w:val="en-GB"/>
        </w:rPr>
        <w:t>Journal of Agricultural and Food Chemistry</w:t>
      </w:r>
      <w:r w:rsidRPr="003E76C7">
        <w:rPr>
          <w:rFonts w:ascii="Times New Roman" w:hAnsi="Times New Roman"/>
          <w:noProof/>
          <w:sz w:val="20"/>
          <w:szCs w:val="20"/>
          <w:lang w:val="en-GB"/>
        </w:rPr>
        <w:t>, 51: 4782-4787.</w:t>
      </w:r>
      <w:bookmarkStart w:id="12" w:name="_ENREF_3"/>
      <w:bookmarkEnd w:id="11"/>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Erickson, B. E. (2004). Finding acrylamide. </w:t>
      </w:r>
      <w:r w:rsidRPr="003E76C7">
        <w:rPr>
          <w:rFonts w:ascii="Times New Roman" w:hAnsi="Times New Roman"/>
          <w:i/>
          <w:noProof/>
          <w:sz w:val="20"/>
          <w:szCs w:val="20"/>
          <w:lang w:val="en-GB"/>
        </w:rPr>
        <w:t>Analytical Chemistry</w:t>
      </w:r>
      <w:r w:rsidRPr="003E76C7">
        <w:rPr>
          <w:rFonts w:ascii="Times New Roman" w:hAnsi="Times New Roman"/>
          <w:noProof/>
          <w:sz w:val="20"/>
          <w:szCs w:val="20"/>
          <w:lang w:val="en-GB"/>
        </w:rPr>
        <w:t>, 76: 247A-248A.</w:t>
      </w:r>
      <w:bookmarkStart w:id="13" w:name="_ENREF_4"/>
      <w:bookmarkEnd w:id="12"/>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Dybing, E., Farmer, P. B., Andersen, M., Fennell, T. R., Lalljie, S. P. D., Müller, D. J. G., Olin, S., Petersen, B. J., Schlatter, J., Scholz, G., Scimeca, J. A., Slimani, N., Törnqvist, M., Tuijtelaars, S. and Verger, P. (2005). Human exposure and internal dose assessments of acrylamide in food. </w:t>
      </w:r>
      <w:r w:rsidRPr="003E76C7">
        <w:rPr>
          <w:rFonts w:ascii="Times New Roman" w:hAnsi="Times New Roman"/>
          <w:i/>
          <w:noProof/>
          <w:sz w:val="20"/>
          <w:szCs w:val="20"/>
          <w:lang w:val="en-GB"/>
        </w:rPr>
        <w:t>Food and Chemical Toxicology</w:t>
      </w:r>
      <w:r w:rsidRPr="003E76C7">
        <w:rPr>
          <w:rFonts w:ascii="Times New Roman" w:hAnsi="Times New Roman"/>
          <w:noProof/>
          <w:sz w:val="20"/>
          <w:szCs w:val="20"/>
          <w:lang w:val="en-GB"/>
        </w:rPr>
        <w:t>, 43: 365-410.</w:t>
      </w:r>
      <w:bookmarkStart w:id="14" w:name="_ENREF_5"/>
      <w:bookmarkEnd w:id="13"/>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IARC (1994). International Agency for Research on Cancer, Lyon, France: pp. 389-433.</w:t>
      </w:r>
      <w:bookmarkStart w:id="15" w:name="_ENREF_6"/>
      <w:bookmarkEnd w:id="14"/>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Preston, A., Fodey, T. and Elliott, C. (2008). Development of a high-throughput enzyme-linked immunosorbent assay for the routine detection of the carcinogen acrylamide in food, via rapid derivatisation pre-analysis. </w:t>
      </w:r>
      <w:r w:rsidRPr="003E76C7">
        <w:rPr>
          <w:rFonts w:ascii="Times New Roman" w:hAnsi="Times New Roman"/>
          <w:i/>
          <w:noProof/>
          <w:sz w:val="20"/>
          <w:szCs w:val="20"/>
          <w:lang w:val="en-GB"/>
        </w:rPr>
        <w:t>Analytica Chimica Acta</w:t>
      </w:r>
      <w:r w:rsidRPr="003E76C7">
        <w:rPr>
          <w:rFonts w:ascii="Times New Roman" w:hAnsi="Times New Roman"/>
          <w:noProof/>
          <w:sz w:val="20"/>
          <w:szCs w:val="20"/>
          <w:lang w:val="en-GB"/>
        </w:rPr>
        <w:t>, 608: 178-185.</w:t>
      </w:r>
      <w:bookmarkStart w:id="16" w:name="_ENREF_7"/>
      <w:bookmarkEnd w:id="15"/>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Zhou, S., Zhang, C., Wang, D. and Zhao, M. (2008). Antigen synthetic strategy and immunoassay development for detection of acrylamide in foods. </w:t>
      </w:r>
      <w:r w:rsidRPr="003E76C7">
        <w:rPr>
          <w:rFonts w:ascii="Times New Roman" w:hAnsi="Times New Roman"/>
          <w:i/>
          <w:noProof/>
          <w:sz w:val="20"/>
          <w:szCs w:val="20"/>
          <w:lang w:val="en-GB"/>
        </w:rPr>
        <w:t>Analyst</w:t>
      </w:r>
      <w:r w:rsidRPr="003E76C7">
        <w:rPr>
          <w:rFonts w:ascii="Times New Roman" w:hAnsi="Times New Roman"/>
          <w:noProof/>
          <w:sz w:val="20"/>
          <w:szCs w:val="20"/>
          <w:lang w:val="en-GB"/>
        </w:rPr>
        <w:t>, 133: 903-909.</w:t>
      </w:r>
      <w:bookmarkStart w:id="17" w:name="_ENREF_8"/>
      <w:bookmarkEnd w:id="16"/>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Hu, Q., Xu, X., Li, Z., Zhang, Y., Wang, J., Fu, Y. and Li, Y. (2014). Detection of acrylamide in potato chips using a fluorescent sensing method based on acrylamide polymerization-induced distance increase between quantum dots. </w:t>
      </w:r>
      <w:r w:rsidRPr="003E76C7">
        <w:rPr>
          <w:rFonts w:ascii="Times New Roman" w:hAnsi="Times New Roman"/>
          <w:i/>
          <w:noProof/>
          <w:sz w:val="20"/>
          <w:szCs w:val="20"/>
          <w:lang w:val="en-GB"/>
        </w:rPr>
        <w:t>Biosensors and Bioelectronics</w:t>
      </w:r>
      <w:r w:rsidRPr="003E76C7">
        <w:rPr>
          <w:rFonts w:ascii="Times New Roman" w:hAnsi="Times New Roman"/>
          <w:noProof/>
          <w:sz w:val="20"/>
          <w:szCs w:val="20"/>
          <w:lang w:val="en-GB"/>
        </w:rPr>
        <w:t>, 54: 64-71.</w:t>
      </w:r>
      <w:bookmarkStart w:id="18" w:name="_ENREF_9"/>
      <w:bookmarkEnd w:id="17"/>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Stobiecka, A., Radecka, H. and Radecki, J. (2007). Novel voltammetric biosensor for determining acrylamide in food samples. </w:t>
      </w:r>
      <w:r w:rsidRPr="003E76C7">
        <w:rPr>
          <w:rFonts w:ascii="Times New Roman" w:hAnsi="Times New Roman"/>
          <w:i/>
          <w:noProof/>
          <w:sz w:val="20"/>
          <w:szCs w:val="20"/>
          <w:lang w:val="en-GB"/>
        </w:rPr>
        <w:t>Biosensors and Bioelectronics</w:t>
      </w:r>
      <w:r w:rsidRPr="003E76C7">
        <w:rPr>
          <w:rFonts w:ascii="Times New Roman" w:hAnsi="Times New Roman"/>
          <w:noProof/>
          <w:sz w:val="20"/>
          <w:szCs w:val="20"/>
          <w:lang w:val="en-GB"/>
        </w:rPr>
        <w:t>, 22: 2165-2170.</w:t>
      </w:r>
      <w:bookmarkStart w:id="19" w:name="_ENREF_10"/>
      <w:bookmarkEnd w:id="18"/>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Krajewska, A., Radecki, J. and Radecka, H. (2008). A voltammetric biosensor based on glassy carbon electrodes modified with single-walled carbon nanotubes/hemoglobin for detection of acrylamide in water extracts from potato crisps. </w:t>
      </w:r>
      <w:r w:rsidRPr="003E76C7">
        <w:rPr>
          <w:rFonts w:ascii="Times New Roman" w:hAnsi="Times New Roman"/>
          <w:i/>
          <w:noProof/>
          <w:sz w:val="20"/>
          <w:szCs w:val="20"/>
          <w:lang w:val="en-GB"/>
        </w:rPr>
        <w:t>Sensors</w:t>
      </w:r>
      <w:r w:rsidRPr="003E76C7">
        <w:rPr>
          <w:rFonts w:ascii="Times New Roman" w:hAnsi="Times New Roman"/>
          <w:noProof/>
          <w:sz w:val="20"/>
          <w:szCs w:val="20"/>
          <w:lang w:val="en-GB"/>
        </w:rPr>
        <w:t>, 8: 5832-5844.</w:t>
      </w:r>
      <w:bookmarkStart w:id="20" w:name="_ENREF_11"/>
      <w:bookmarkEnd w:id="19"/>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Garabagiu, S. and Mihailescu, G. (2011). Simple hemoglobin–gold nanoparticles modified electrode for the amperometric detection of acrylamide. </w:t>
      </w:r>
      <w:r w:rsidRPr="003E76C7">
        <w:rPr>
          <w:rFonts w:ascii="Times New Roman" w:hAnsi="Times New Roman"/>
          <w:i/>
          <w:noProof/>
          <w:sz w:val="20"/>
          <w:szCs w:val="20"/>
          <w:lang w:val="en-GB"/>
        </w:rPr>
        <w:t>Journal of Electroanalytical Chemistry</w:t>
      </w:r>
      <w:r w:rsidRPr="003E76C7">
        <w:rPr>
          <w:rFonts w:ascii="Times New Roman" w:hAnsi="Times New Roman"/>
          <w:noProof/>
          <w:sz w:val="20"/>
          <w:szCs w:val="20"/>
          <w:lang w:val="en-GB"/>
        </w:rPr>
        <w:t>, 659: 196-200.</w:t>
      </w:r>
      <w:bookmarkStart w:id="21" w:name="_ENREF_12"/>
      <w:bookmarkEnd w:id="20"/>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Batra, B., Lata, S., Sharma, M. and Pundir, C. S. (2013). An acrylamide biosensor based on immobilization of hemoglobin onto multiwalled carbon nanotube/copper nanoparticles/polyaniline hybrid film. </w:t>
      </w:r>
      <w:r w:rsidRPr="003E76C7">
        <w:rPr>
          <w:rFonts w:ascii="Times New Roman" w:hAnsi="Times New Roman"/>
          <w:i/>
          <w:noProof/>
          <w:sz w:val="20"/>
          <w:szCs w:val="20"/>
          <w:lang w:val="en-GB"/>
        </w:rPr>
        <w:t>Analytical Biochemistry</w:t>
      </w:r>
      <w:r w:rsidRPr="003E76C7">
        <w:rPr>
          <w:rFonts w:ascii="Times New Roman" w:hAnsi="Times New Roman"/>
          <w:noProof/>
          <w:sz w:val="20"/>
          <w:szCs w:val="20"/>
          <w:lang w:val="en-GB"/>
        </w:rPr>
        <w:t>, 433: 210-217.</w:t>
      </w:r>
      <w:bookmarkStart w:id="22" w:name="_ENREF_13"/>
      <w:bookmarkEnd w:id="21"/>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Batra, B., Lata, S. and Pundir, C. S. (2013). Construction of an improved amperometric acrylamide biosensor based on hemoglobin immobilized onto carboxylated multi-walled carbon nanotubes/iron oxide nanoparticles/chitosan composite film. </w:t>
      </w:r>
      <w:r w:rsidRPr="003E76C7">
        <w:rPr>
          <w:rFonts w:ascii="Times New Roman" w:hAnsi="Times New Roman"/>
          <w:i/>
          <w:noProof/>
          <w:sz w:val="20"/>
          <w:szCs w:val="20"/>
          <w:lang w:val="en-GB"/>
        </w:rPr>
        <w:t>Bioprocess and Biosystems Engineering</w:t>
      </w:r>
      <w:r w:rsidRPr="003E76C7">
        <w:rPr>
          <w:rFonts w:ascii="Times New Roman" w:hAnsi="Times New Roman"/>
          <w:noProof/>
          <w:sz w:val="20"/>
          <w:szCs w:val="20"/>
          <w:lang w:val="en-GB"/>
        </w:rPr>
        <w:t>, 36: 1591-1599.</w:t>
      </w:r>
      <w:bookmarkStart w:id="23" w:name="_ENREF_14"/>
      <w:bookmarkEnd w:id="22"/>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Silva, N., Gil, D., Karmali, A. and Matos, M. (2009). Biosensor for acrylamide based on an ion-selective electrode using whole cells of </w:t>
      </w:r>
      <w:r w:rsidRPr="003E76C7">
        <w:rPr>
          <w:rFonts w:ascii="Times New Roman" w:hAnsi="Times New Roman"/>
          <w:i/>
          <w:noProof/>
          <w:sz w:val="20"/>
          <w:szCs w:val="20"/>
          <w:lang w:val="en-GB"/>
        </w:rPr>
        <w:t>Pseudomonas aeruginosa</w:t>
      </w:r>
      <w:r w:rsidRPr="003E76C7">
        <w:rPr>
          <w:rFonts w:ascii="Times New Roman" w:hAnsi="Times New Roman"/>
          <w:noProof/>
          <w:sz w:val="20"/>
          <w:szCs w:val="20"/>
          <w:lang w:val="en-GB"/>
        </w:rPr>
        <w:t xml:space="preserve"> containing amidase activity. </w:t>
      </w:r>
      <w:r w:rsidRPr="003E76C7">
        <w:rPr>
          <w:rFonts w:ascii="Times New Roman" w:hAnsi="Times New Roman"/>
          <w:i/>
          <w:noProof/>
          <w:sz w:val="20"/>
          <w:szCs w:val="20"/>
          <w:lang w:val="en-GB"/>
        </w:rPr>
        <w:t>Biocatalysis and Biotransformation</w:t>
      </w:r>
      <w:r w:rsidRPr="003E76C7">
        <w:rPr>
          <w:rFonts w:ascii="Times New Roman" w:hAnsi="Times New Roman"/>
          <w:noProof/>
          <w:sz w:val="20"/>
          <w:szCs w:val="20"/>
          <w:lang w:val="en-GB"/>
        </w:rPr>
        <w:t>, 27: 143-151.</w:t>
      </w:r>
      <w:bookmarkStart w:id="24" w:name="_ENREF_15"/>
      <w:bookmarkEnd w:id="23"/>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Silva, N. A. F., Matos, M. J., Karmali, A. and Racha, M. M. (2011). An electrochemical biosensor for acrylamide detection: Merits and limitations. </w:t>
      </w:r>
      <w:r w:rsidRPr="003E76C7">
        <w:rPr>
          <w:rFonts w:ascii="Times New Roman" w:hAnsi="Times New Roman"/>
          <w:i/>
          <w:noProof/>
          <w:sz w:val="20"/>
          <w:szCs w:val="20"/>
          <w:lang w:val="en-GB"/>
        </w:rPr>
        <w:t>Portugaliae Electrochimica Acta</w:t>
      </w:r>
      <w:r w:rsidRPr="003E76C7">
        <w:rPr>
          <w:rFonts w:ascii="Times New Roman" w:hAnsi="Times New Roman"/>
          <w:noProof/>
          <w:sz w:val="20"/>
          <w:szCs w:val="20"/>
          <w:lang w:val="en-GB"/>
        </w:rPr>
        <w:t>, 29: 361-373.</w:t>
      </w:r>
      <w:bookmarkStart w:id="25" w:name="_ENREF_16"/>
      <w:bookmarkEnd w:id="24"/>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Ignatov, O. V., Rogatcheva, S. M., Vasil'eva, O. V. and Ignatov, V. V. (1996). Selective determination of acrylonitrile, acrylamide and acrylic acid in waste waters using microbial cells. </w:t>
      </w:r>
      <w:r w:rsidRPr="003E76C7">
        <w:rPr>
          <w:rFonts w:ascii="Times New Roman" w:hAnsi="Times New Roman"/>
          <w:i/>
          <w:noProof/>
          <w:sz w:val="20"/>
          <w:szCs w:val="20"/>
          <w:lang w:val="en-GB"/>
        </w:rPr>
        <w:t>Resources, Conservation and Recycling</w:t>
      </w:r>
      <w:r w:rsidRPr="003E76C7">
        <w:rPr>
          <w:rFonts w:ascii="Times New Roman" w:hAnsi="Times New Roman"/>
          <w:noProof/>
          <w:sz w:val="20"/>
          <w:szCs w:val="20"/>
          <w:lang w:val="en-GB"/>
        </w:rPr>
        <w:t>, 18: 69-78.</w:t>
      </w:r>
      <w:bookmarkStart w:id="26" w:name="_ENREF_17"/>
      <w:bookmarkEnd w:id="25"/>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Ignatov, O. V., Rogatcheva, S. M., Kozulin, S. V. and Khorkina, N. A. (1997). Acrylamide and acrylic acid determination using respiratory activity of microbial cells. </w:t>
      </w:r>
      <w:r w:rsidRPr="003E76C7">
        <w:rPr>
          <w:rFonts w:ascii="Times New Roman" w:hAnsi="Times New Roman"/>
          <w:i/>
          <w:noProof/>
          <w:sz w:val="20"/>
          <w:szCs w:val="20"/>
          <w:lang w:val="en-GB"/>
        </w:rPr>
        <w:t>Biosensors and Bioelectronics</w:t>
      </w:r>
      <w:r w:rsidRPr="003E76C7">
        <w:rPr>
          <w:rFonts w:ascii="Times New Roman" w:hAnsi="Times New Roman"/>
          <w:noProof/>
          <w:sz w:val="20"/>
          <w:szCs w:val="20"/>
          <w:lang w:val="en-GB"/>
        </w:rPr>
        <w:t>, 12: 105-111.</w:t>
      </w:r>
      <w:bookmarkStart w:id="27" w:name="_ENREF_18"/>
      <w:bookmarkEnd w:id="26"/>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Hasegawa, K., Miwa, S., Tajima, T., Tsutsumiuchi, K., Taniguchi, H. and Miwa, J. (2007). A rapid and inexpensive method to screen for common foods that reduce the action of acrylamide, a harmful substance in food. </w:t>
      </w:r>
      <w:r w:rsidRPr="003E76C7">
        <w:rPr>
          <w:rFonts w:ascii="Times New Roman" w:hAnsi="Times New Roman"/>
          <w:i/>
          <w:noProof/>
          <w:sz w:val="20"/>
          <w:szCs w:val="20"/>
          <w:lang w:val="en-GB"/>
        </w:rPr>
        <w:t>Toxicology Letters</w:t>
      </w:r>
      <w:r w:rsidRPr="003E76C7">
        <w:rPr>
          <w:rFonts w:ascii="Times New Roman" w:hAnsi="Times New Roman"/>
          <w:noProof/>
          <w:sz w:val="20"/>
          <w:szCs w:val="20"/>
          <w:lang w:val="en-GB"/>
        </w:rPr>
        <w:t>, 175: 82-88.</w:t>
      </w:r>
      <w:bookmarkStart w:id="28" w:name="_ENREF_19"/>
      <w:bookmarkEnd w:id="27"/>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Qiu, Y., Qu, X., Dong, J., Ai, S. and Han, R. (2011). Electrochemical detection of DNA damage induced by acrylamide and its metabolite at the graphene-ionic liquid-Nafion modified pyrolytic graphite electrode. </w:t>
      </w:r>
      <w:r w:rsidRPr="003E76C7">
        <w:rPr>
          <w:rFonts w:ascii="Times New Roman" w:hAnsi="Times New Roman"/>
          <w:i/>
          <w:noProof/>
          <w:sz w:val="20"/>
          <w:szCs w:val="20"/>
          <w:lang w:val="en-GB"/>
        </w:rPr>
        <w:t>Journal of Hazardous Materials</w:t>
      </w:r>
      <w:r w:rsidRPr="003E76C7">
        <w:rPr>
          <w:rFonts w:ascii="Times New Roman" w:hAnsi="Times New Roman"/>
          <w:noProof/>
          <w:sz w:val="20"/>
          <w:szCs w:val="20"/>
          <w:lang w:val="en-GB"/>
        </w:rPr>
        <w:t>, 190: 480-485.</w:t>
      </w:r>
      <w:bookmarkStart w:id="29" w:name="_ENREF_20"/>
      <w:bookmarkEnd w:id="28"/>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Li, D., Xu, Y., Zhang, L. and Tong, H. (2014). A label-free electrochemical bopsensor for acrylamide based on DNA immobilized on graphene oxide-modified glassy carbon electrode. </w:t>
      </w:r>
      <w:r w:rsidRPr="003E76C7">
        <w:rPr>
          <w:rFonts w:ascii="Times New Roman" w:hAnsi="Times New Roman"/>
          <w:i/>
          <w:noProof/>
          <w:sz w:val="20"/>
          <w:szCs w:val="20"/>
          <w:lang w:val="en-GB"/>
        </w:rPr>
        <w:t>International Journal of Electrochemical Science</w:t>
      </w:r>
      <w:r w:rsidRPr="003E76C7">
        <w:rPr>
          <w:rFonts w:ascii="Times New Roman" w:hAnsi="Times New Roman"/>
          <w:noProof/>
          <w:sz w:val="20"/>
          <w:szCs w:val="20"/>
          <w:lang w:val="en-GB"/>
        </w:rPr>
        <w:t>, 9: 7217-7227.</w:t>
      </w:r>
      <w:bookmarkStart w:id="30" w:name="_ENREF_21"/>
      <w:bookmarkEnd w:id="29"/>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lastRenderedPageBreak/>
        <w:t xml:space="preserve">Sun, X., Ji, J., Jiang, D., Li, X., Zhang, Y., Li, Z. and Wu, Y. (2013). Development of a novel electrochemical sensor using pheochromocytoma cells and its assessment of acrylamide cytotoxicity. </w:t>
      </w:r>
      <w:r w:rsidRPr="003E76C7">
        <w:rPr>
          <w:rFonts w:ascii="Times New Roman" w:hAnsi="Times New Roman"/>
          <w:i/>
          <w:noProof/>
          <w:sz w:val="20"/>
          <w:szCs w:val="20"/>
          <w:lang w:val="en-GB"/>
        </w:rPr>
        <w:t>Biosensors and Bioelectronics</w:t>
      </w:r>
      <w:r w:rsidRPr="003E76C7">
        <w:rPr>
          <w:rFonts w:ascii="Times New Roman" w:hAnsi="Times New Roman"/>
          <w:noProof/>
          <w:sz w:val="20"/>
          <w:szCs w:val="20"/>
          <w:lang w:val="en-GB"/>
        </w:rPr>
        <w:t>, 44: 122-126.</w:t>
      </w:r>
      <w:bookmarkStart w:id="31" w:name="_ENREF_22"/>
      <w:bookmarkEnd w:id="30"/>
    </w:p>
    <w:p w:rsid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Paleologos, E. K. and Kontominas, M. G. (2005). Determination of acrylamide and methacrylamide by normal phase high performance liquid chromatography and UV detection. </w:t>
      </w:r>
      <w:r w:rsidRPr="003E76C7">
        <w:rPr>
          <w:rFonts w:ascii="Times New Roman" w:hAnsi="Times New Roman"/>
          <w:i/>
          <w:noProof/>
          <w:sz w:val="20"/>
          <w:szCs w:val="20"/>
          <w:lang w:val="en-GB"/>
        </w:rPr>
        <w:t>Journal of Chromatography A</w:t>
      </w:r>
      <w:r w:rsidRPr="003E76C7">
        <w:rPr>
          <w:rFonts w:ascii="Times New Roman" w:hAnsi="Times New Roman"/>
          <w:noProof/>
          <w:sz w:val="20"/>
          <w:szCs w:val="20"/>
          <w:lang w:val="en-GB"/>
        </w:rPr>
        <w:t>, 1077: 128-135.</w:t>
      </w:r>
      <w:bookmarkStart w:id="32" w:name="_ENREF_23"/>
      <w:bookmarkEnd w:id="31"/>
    </w:p>
    <w:p w:rsidR="0093612A" w:rsidRPr="003E76C7" w:rsidRDefault="0093612A" w:rsidP="003E76C7">
      <w:pPr>
        <w:pStyle w:val="ListParagraph"/>
        <w:numPr>
          <w:ilvl w:val="0"/>
          <w:numId w:val="3"/>
        </w:numPr>
        <w:spacing w:after="0" w:line="240" w:lineRule="auto"/>
        <w:ind w:left="360"/>
        <w:jc w:val="both"/>
        <w:rPr>
          <w:rFonts w:ascii="Times New Roman" w:hAnsi="Times New Roman"/>
          <w:noProof/>
          <w:sz w:val="20"/>
          <w:szCs w:val="20"/>
          <w:lang w:val="en-GB"/>
        </w:rPr>
      </w:pPr>
      <w:r w:rsidRPr="003E76C7">
        <w:rPr>
          <w:rFonts w:ascii="Times New Roman" w:hAnsi="Times New Roman"/>
          <w:noProof/>
          <w:sz w:val="20"/>
          <w:szCs w:val="20"/>
          <w:lang w:val="en-GB"/>
        </w:rPr>
        <w:t xml:space="preserve">Chong, Y.-M., Ahmad, M., Heng, L. Y., Kusnin, N. and Shukor, M. Y. A. (2017). Acrylamide optical sensor based on hydrolysis using </w:t>
      </w:r>
      <w:r w:rsidRPr="003E76C7">
        <w:rPr>
          <w:rFonts w:ascii="Times New Roman" w:hAnsi="Times New Roman"/>
          <w:i/>
          <w:noProof/>
          <w:sz w:val="20"/>
          <w:szCs w:val="20"/>
          <w:lang w:val="en-GB"/>
        </w:rPr>
        <w:t xml:space="preserve">Bacillus </w:t>
      </w:r>
      <w:r w:rsidRPr="003E76C7">
        <w:rPr>
          <w:rFonts w:ascii="Times New Roman" w:hAnsi="Times New Roman"/>
          <w:noProof/>
          <w:sz w:val="20"/>
          <w:szCs w:val="20"/>
          <w:lang w:val="en-GB"/>
        </w:rPr>
        <w:t xml:space="preserve">sp. strain ZK34 containing amidase properties. </w:t>
      </w:r>
      <w:r w:rsidRPr="003E76C7">
        <w:rPr>
          <w:rFonts w:ascii="Times New Roman" w:hAnsi="Times New Roman"/>
          <w:i/>
          <w:noProof/>
          <w:sz w:val="20"/>
          <w:szCs w:val="20"/>
          <w:lang w:val="en-GB"/>
        </w:rPr>
        <w:t>Sains Malaysiana</w:t>
      </w:r>
      <w:r w:rsidRPr="003E76C7">
        <w:rPr>
          <w:rFonts w:ascii="Times New Roman" w:hAnsi="Times New Roman"/>
          <w:noProof/>
          <w:sz w:val="20"/>
          <w:szCs w:val="20"/>
          <w:lang w:val="en-GB"/>
        </w:rPr>
        <w:t>, 46: 1557-1563.</w:t>
      </w:r>
      <w:bookmarkEnd w:id="32"/>
    </w:p>
    <w:p w:rsidR="0093612A" w:rsidRPr="003E76C7" w:rsidRDefault="0093612A" w:rsidP="003E76C7">
      <w:pPr>
        <w:spacing w:after="0" w:line="240" w:lineRule="auto"/>
        <w:jc w:val="both"/>
        <w:rPr>
          <w:rFonts w:ascii="Times New Roman" w:hAnsi="Times New Roman"/>
          <w:noProof/>
          <w:sz w:val="20"/>
          <w:szCs w:val="20"/>
          <w:lang w:val="en-GB"/>
        </w:rPr>
      </w:pPr>
    </w:p>
    <w:p w:rsidR="00A74A7E" w:rsidRPr="003E76C7" w:rsidRDefault="0093612A" w:rsidP="003E76C7">
      <w:pPr>
        <w:spacing w:after="0" w:line="240" w:lineRule="auto"/>
        <w:jc w:val="both"/>
        <w:rPr>
          <w:rFonts w:ascii="Times New Roman" w:hAnsi="Times New Roman"/>
          <w:noProof/>
          <w:sz w:val="20"/>
          <w:szCs w:val="20"/>
          <w:lang w:bidi="ar-SA"/>
        </w:rPr>
      </w:pPr>
      <w:r w:rsidRPr="003E76C7">
        <w:rPr>
          <w:rFonts w:ascii="Times New Roman" w:hAnsi="Times New Roman"/>
          <w:sz w:val="20"/>
          <w:szCs w:val="20"/>
          <w:lang w:val="en-GB"/>
        </w:rPr>
        <w:fldChar w:fldCharType="end"/>
      </w:r>
    </w:p>
    <w:p w:rsidR="00A74A7E" w:rsidRPr="003E76C7" w:rsidRDefault="00A74A7E" w:rsidP="003E76C7">
      <w:pPr>
        <w:spacing w:after="0" w:line="240" w:lineRule="auto"/>
        <w:jc w:val="both"/>
        <w:rPr>
          <w:rFonts w:ascii="Times New Roman" w:hAnsi="Times New Roman"/>
          <w:noProof/>
          <w:sz w:val="20"/>
          <w:szCs w:val="20"/>
          <w:lang w:bidi="ar-SA"/>
        </w:rPr>
      </w:pPr>
    </w:p>
    <w:p w:rsidR="00A74A7E" w:rsidRPr="003E76C7" w:rsidRDefault="00A74A7E" w:rsidP="003E76C7">
      <w:pPr>
        <w:spacing w:after="0" w:line="240" w:lineRule="auto"/>
        <w:jc w:val="both"/>
        <w:rPr>
          <w:rFonts w:ascii="Times New Roman" w:hAnsi="Times New Roman"/>
          <w:noProof/>
          <w:sz w:val="20"/>
          <w:szCs w:val="20"/>
          <w:lang w:bidi="ar-SA"/>
        </w:rPr>
      </w:pPr>
    </w:p>
    <w:sectPr w:rsidR="00A74A7E" w:rsidRPr="003E76C7" w:rsidSect="00EB7240">
      <w:headerReference w:type="even" r:id="rId18"/>
      <w:headerReference w:type="default" r:id="rId19"/>
      <w:footerReference w:type="even" r:id="rId20"/>
      <w:footerReference w:type="default" r:id="rId21"/>
      <w:pgSz w:w="12240" w:h="15840" w:code="1"/>
      <w:pgMar w:top="1800" w:right="1469" w:bottom="1699" w:left="1440" w:header="706" w:footer="706" w:gutter="0"/>
      <w:pgNumType w:start="1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321C2">
          <w:rPr>
            <w:rFonts w:ascii="Times New Roman" w:hAnsi="Times New Roman"/>
            <w:noProof/>
          </w:rPr>
          <w:t>22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321C2">
          <w:rPr>
            <w:rFonts w:ascii="Times New Roman" w:hAnsi="Times New Roman"/>
            <w:noProof/>
          </w:rPr>
          <w:t>21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EB7240">
      <w:rPr>
        <w:rFonts w:ascii="Times New Roman" w:hAnsi="Times New Roman"/>
        <w:i/>
        <w:lang w:val="en-US"/>
      </w:rPr>
      <w:t>14</w:t>
    </w:r>
    <w:r w:rsidR="004B43FF">
      <w:rPr>
        <w:rFonts w:ascii="Times New Roman" w:hAnsi="Times New Roman"/>
        <w:i/>
        <w:lang w:val="en-US"/>
      </w:rPr>
      <w:t xml:space="preserve"> </w:t>
    </w:r>
    <w:r w:rsidR="00583C85">
      <w:rPr>
        <w:rFonts w:ascii="Times New Roman" w:hAnsi="Times New Roman"/>
        <w:i/>
        <w:lang w:val="en-US"/>
      </w:rPr>
      <w:t>-</w:t>
    </w:r>
    <w:r w:rsidR="00EB7240">
      <w:rPr>
        <w:rFonts w:ascii="Times New Roman" w:hAnsi="Times New Roman"/>
        <w:i/>
        <w:lang w:val="en-US"/>
      </w:rPr>
      <w:t xml:space="preserve"> 22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12C0E">
      <w:rPr>
        <w:rFonts w:ascii="Times New Roman" w:hAnsi="Times New Roman"/>
        <w:i/>
        <w:lang w:val="en-US"/>
      </w:rPr>
      <w:t>1</w:t>
    </w:r>
    <w:r w:rsidR="00EB7240">
      <w:rPr>
        <w:rFonts w:ascii="Times New Roman" w:hAnsi="Times New Roman"/>
        <w:i/>
        <w:lang w:val="en-US"/>
      </w:rPr>
      <w:t>-02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C1" w:rsidRPr="00B643C1" w:rsidRDefault="00B643C1" w:rsidP="00B643C1">
    <w:pPr>
      <w:spacing w:after="0" w:line="240" w:lineRule="auto"/>
      <w:ind w:left="1170" w:hanging="1170"/>
      <w:outlineLvl w:val="0"/>
      <w:rPr>
        <w:rFonts w:ascii="Times New Roman" w:hAnsi="Times New Roman"/>
        <w:sz w:val="20"/>
        <w:szCs w:val="20"/>
        <w:lang w:val="en-GB"/>
      </w:rPr>
    </w:pPr>
    <w:r>
      <w:rPr>
        <w:rFonts w:ascii="Times New Roman" w:hAnsi="Times New Roman"/>
        <w:sz w:val="20"/>
        <w:szCs w:val="20"/>
      </w:rPr>
      <w:t>Chong et al</w:t>
    </w:r>
    <w:r w:rsidR="008E6968" w:rsidRPr="00B643C1">
      <w:rPr>
        <w:rFonts w:ascii="Times New Roman" w:hAnsi="Times New Roman"/>
        <w:sz w:val="20"/>
        <w:szCs w:val="20"/>
      </w:rPr>
      <w:t xml:space="preserve">:  </w:t>
    </w:r>
    <w:r w:rsidRPr="00B643C1">
      <w:rPr>
        <w:rFonts w:ascii="Times New Roman" w:hAnsi="Times New Roman"/>
        <w:sz w:val="20"/>
        <w:szCs w:val="20"/>
      </w:rPr>
      <w:t xml:space="preserve"> </w:t>
    </w:r>
    <w:r>
      <w:rPr>
        <w:rFonts w:ascii="Times New Roman" w:hAnsi="Times New Roman"/>
        <w:sz w:val="20"/>
        <w:szCs w:val="20"/>
      </w:rPr>
      <w:tab/>
    </w:r>
    <w:r w:rsidRPr="00B643C1">
      <w:rPr>
        <w:rFonts w:ascii="Times New Roman" w:hAnsi="Times New Roman"/>
        <w:sz w:val="20"/>
        <w:szCs w:val="20"/>
        <w:lang w:val="en-GB"/>
      </w:rPr>
      <w:t>A NEW ULTRA VIOLET-VISIBLE SPECTROPHOTOMETRIC METHOD FOR QUANTITATIVE DETERMINATION OF ACRYLAMIDE VIA HYDROLYSIS PROCESS</w:t>
    </w:r>
  </w:p>
  <w:p w:rsidR="00D75B35" w:rsidRPr="00B75BF6" w:rsidRDefault="00D75B35" w:rsidP="00B643C1">
    <w:pPr>
      <w:pStyle w:val="Header"/>
      <w:ind w:left="1170" w:hanging="117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4768D"/>
    <w:multiLevelType w:val="hybridMultilevel"/>
    <w:tmpl w:val="B67413EE"/>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574107"/>
    <w:multiLevelType w:val="hybridMultilevel"/>
    <w:tmpl w:val="E7543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2480"/>
    <w:rsid w:val="00016385"/>
    <w:rsid w:val="00017687"/>
    <w:rsid w:val="000321C2"/>
    <w:rsid w:val="00037D5A"/>
    <w:rsid w:val="00070690"/>
    <w:rsid w:val="00084936"/>
    <w:rsid w:val="000C49FF"/>
    <w:rsid w:val="000C5261"/>
    <w:rsid w:val="000E5AF1"/>
    <w:rsid w:val="000F77DA"/>
    <w:rsid w:val="001068E8"/>
    <w:rsid w:val="00117BCD"/>
    <w:rsid w:val="001C1C6A"/>
    <w:rsid w:val="001D035A"/>
    <w:rsid w:val="001D3855"/>
    <w:rsid w:val="001D6F2C"/>
    <w:rsid w:val="00221D39"/>
    <w:rsid w:val="00237FB0"/>
    <w:rsid w:val="002A769C"/>
    <w:rsid w:val="002B188F"/>
    <w:rsid w:val="002B3BD8"/>
    <w:rsid w:val="002F3F91"/>
    <w:rsid w:val="00304767"/>
    <w:rsid w:val="00304B34"/>
    <w:rsid w:val="00312C0E"/>
    <w:rsid w:val="00361BAF"/>
    <w:rsid w:val="00367D1F"/>
    <w:rsid w:val="00373A9B"/>
    <w:rsid w:val="00383F26"/>
    <w:rsid w:val="003D585B"/>
    <w:rsid w:val="003E76C7"/>
    <w:rsid w:val="003E7DA6"/>
    <w:rsid w:val="003F12FF"/>
    <w:rsid w:val="00466C88"/>
    <w:rsid w:val="004760D4"/>
    <w:rsid w:val="00494C46"/>
    <w:rsid w:val="004B43FF"/>
    <w:rsid w:val="00502641"/>
    <w:rsid w:val="00534441"/>
    <w:rsid w:val="005439C8"/>
    <w:rsid w:val="00545363"/>
    <w:rsid w:val="00583C85"/>
    <w:rsid w:val="00584156"/>
    <w:rsid w:val="005C6768"/>
    <w:rsid w:val="00624C7C"/>
    <w:rsid w:val="00634C25"/>
    <w:rsid w:val="006416AB"/>
    <w:rsid w:val="006658C3"/>
    <w:rsid w:val="006768E9"/>
    <w:rsid w:val="00687982"/>
    <w:rsid w:val="00695D0E"/>
    <w:rsid w:val="006A3A0F"/>
    <w:rsid w:val="006B3EC8"/>
    <w:rsid w:val="006B5E07"/>
    <w:rsid w:val="006C5AEB"/>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331F"/>
    <w:rsid w:val="008E5BBF"/>
    <w:rsid w:val="008E6968"/>
    <w:rsid w:val="008F3A9C"/>
    <w:rsid w:val="0093612A"/>
    <w:rsid w:val="009403BA"/>
    <w:rsid w:val="009C6A42"/>
    <w:rsid w:val="00A14DB9"/>
    <w:rsid w:val="00A4762A"/>
    <w:rsid w:val="00A74A7E"/>
    <w:rsid w:val="00A87399"/>
    <w:rsid w:val="00AD1B8A"/>
    <w:rsid w:val="00AD76AF"/>
    <w:rsid w:val="00AE713F"/>
    <w:rsid w:val="00B1121C"/>
    <w:rsid w:val="00B25B65"/>
    <w:rsid w:val="00B2770A"/>
    <w:rsid w:val="00B314AD"/>
    <w:rsid w:val="00B568D4"/>
    <w:rsid w:val="00B643C1"/>
    <w:rsid w:val="00B75BF6"/>
    <w:rsid w:val="00BA1F7B"/>
    <w:rsid w:val="00BB58AF"/>
    <w:rsid w:val="00BE7C30"/>
    <w:rsid w:val="00BF44D5"/>
    <w:rsid w:val="00C055BF"/>
    <w:rsid w:val="00C0756D"/>
    <w:rsid w:val="00C2226A"/>
    <w:rsid w:val="00C328C9"/>
    <w:rsid w:val="00C94D92"/>
    <w:rsid w:val="00C97340"/>
    <w:rsid w:val="00CA513F"/>
    <w:rsid w:val="00CE7D8C"/>
    <w:rsid w:val="00CF05FF"/>
    <w:rsid w:val="00D340BB"/>
    <w:rsid w:val="00D505D5"/>
    <w:rsid w:val="00D63C28"/>
    <w:rsid w:val="00D74B02"/>
    <w:rsid w:val="00D75B35"/>
    <w:rsid w:val="00D76E09"/>
    <w:rsid w:val="00D9736F"/>
    <w:rsid w:val="00D9792A"/>
    <w:rsid w:val="00DB14B8"/>
    <w:rsid w:val="00DD377F"/>
    <w:rsid w:val="00E25547"/>
    <w:rsid w:val="00E2773B"/>
    <w:rsid w:val="00E3287E"/>
    <w:rsid w:val="00E65A1B"/>
    <w:rsid w:val="00E66197"/>
    <w:rsid w:val="00EA07F3"/>
    <w:rsid w:val="00EB5BA5"/>
    <w:rsid w:val="00EB7240"/>
    <w:rsid w:val="00EF4195"/>
    <w:rsid w:val="00F202C3"/>
    <w:rsid w:val="00F23D94"/>
    <w:rsid w:val="00F26AB7"/>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93612A"/>
    <w:pPr>
      <w:widowControl w:val="0"/>
      <w:wordWrap w:val="0"/>
      <w:autoSpaceDE w:val="0"/>
      <w:autoSpaceDN w:val="0"/>
      <w:spacing w:line="240" w:lineRule="auto"/>
      <w:jc w:val="both"/>
    </w:pPr>
    <w:rPr>
      <w:rFonts w:asciiTheme="minorHAnsi" w:eastAsiaTheme="minorEastAsia" w:hAnsiTheme="minorHAnsi" w:cstheme="minorBidi"/>
      <w:b/>
      <w:bCs/>
      <w:color w:val="4F81BD" w:themeColor="accent1"/>
      <w:kern w:val="2"/>
      <w:sz w:val="18"/>
      <w:szCs w:val="18"/>
      <w:lang w:eastAsia="ko-KR" w:bidi="ar-SA"/>
    </w:rPr>
  </w:style>
  <w:style w:type="table" w:styleId="TableGrid">
    <w:name w:val="Table Grid"/>
    <w:basedOn w:val="TableNormal"/>
    <w:uiPriority w:val="59"/>
    <w:rsid w:val="0093612A"/>
    <w:rPr>
      <w:rFonts w:ascii="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ArticleText">
    <w:name w:val="08 Article Text"/>
    <w:basedOn w:val="Normal"/>
    <w:link w:val="08ArticleTextChar"/>
    <w:qFormat/>
    <w:rsid w:val="0093612A"/>
    <w:pPr>
      <w:tabs>
        <w:tab w:val="left" w:pos="284"/>
      </w:tabs>
      <w:spacing w:after="0" w:line="240" w:lineRule="exact"/>
      <w:jc w:val="both"/>
    </w:pPr>
    <w:rPr>
      <w:rFonts w:ascii="Times New Roman" w:eastAsia="Calibri" w:hAnsi="Times New Roman"/>
      <w:w w:val="108"/>
      <w:sz w:val="18"/>
      <w:szCs w:val="18"/>
      <w:lang w:val="en-GB" w:bidi="ar-SA"/>
    </w:rPr>
  </w:style>
  <w:style w:type="character" w:customStyle="1" w:styleId="08ArticleTextChar">
    <w:name w:val="08 Article Text Char"/>
    <w:link w:val="08ArticleText"/>
    <w:rsid w:val="0093612A"/>
    <w:rPr>
      <w:rFonts w:ascii="Times New Roman" w:hAnsi="Times New Roman"/>
      <w:w w:val="108"/>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93612A"/>
    <w:pPr>
      <w:widowControl w:val="0"/>
      <w:wordWrap w:val="0"/>
      <w:autoSpaceDE w:val="0"/>
      <w:autoSpaceDN w:val="0"/>
      <w:spacing w:line="240" w:lineRule="auto"/>
      <w:jc w:val="both"/>
    </w:pPr>
    <w:rPr>
      <w:rFonts w:asciiTheme="minorHAnsi" w:eastAsiaTheme="minorEastAsia" w:hAnsiTheme="minorHAnsi" w:cstheme="minorBidi"/>
      <w:b/>
      <w:bCs/>
      <w:color w:val="4F81BD" w:themeColor="accent1"/>
      <w:kern w:val="2"/>
      <w:sz w:val="18"/>
      <w:szCs w:val="18"/>
      <w:lang w:eastAsia="ko-KR" w:bidi="ar-SA"/>
    </w:rPr>
  </w:style>
  <w:style w:type="table" w:styleId="TableGrid">
    <w:name w:val="Table Grid"/>
    <w:basedOn w:val="TableNormal"/>
    <w:uiPriority w:val="59"/>
    <w:rsid w:val="0093612A"/>
    <w:rPr>
      <w:rFonts w:ascii="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ArticleText">
    <w:name w:val="08 Article Text"/>
    <w:basedOn w:val="Normal"/>
    <w:link w:val="08ArticleTextChar"/>
    <w:qFormat/>
    <w:rsid w:val="0093612A"/>
    <w:pPr>
      <w:tabs>
        <w:tab w:val="left" w:pos="284"/>
      </w:tabs>
      <w:spacing w:after="0" w:line="240" w:lineRule="exact"/>
      <w:jc w:val="both"/>
    </w:pPr>
    <w:rPr>
      <w:rFonts w:ascii="Times New Roman" w:eastAsia="Calibri" w:hAnsi="Times New Roman"/>
      <w:w w:val="108"/>
      <w:sz w:val="18"/>
      <w:szCs w:val="18"/>
      <w:lang w:val="en-GB" w:bidi="ar-SA"/>
    </w:rPr>
  </w:style>
  <w:style w:type="character" w:customStyle="1" w:styleId="08ArticleTextChar">
    <w:name w:val="08 Article Text Char"/>
    <w:link w:val="08ArticleText"/>
    <w:rsid w:val="0093612A"/>
    <w:rPr>
      <w:rFonts w:ascii="Times New Roman" w:hAnsi="Times New Roman"/>
      <w:w w:val="108"/>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YEE%20MAY\Desktop\Documents\Data%20and%20Analisis%20Data\NaOH%20hydrolisis%20-%20solution\All%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YEE%20MAY\Desktop\Documents\Data%20and%20Analisis%20Data\NaOH%20hydrolisis%20-%20solution\All%20Data.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YEE%20MAY\Desktop\DBOX\Data%20BAB%20IV.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YEE%20MAY\Desktop\DBOX\Data%20BAB%20IV.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YEE%20MAY\Desktop\Documents\Data%20and%20Analisis%20Data\NaOH%20hydrolisis%20-%20solution\All%20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YEE%20MAY\Desktop\Documents\Data%20and%20Analisis%20Data\NaOH%20hydrolisis%20-%20solution\All%20Data.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YEE%20MAY\Desktop\DBOX\Data%20BAB%20I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38532670264598"/>
          <c:y val="2.5982558631783934E-2"/>
          <c:w val="0.81051762696830654"/>
          <c:h val="0.7395546784273449"/>
        </c:manualLayout>
      </c:layout>
      <c:scatterChart>
        <c:scatterStyle val="lineMarker"/>
        <c:varyColors val="0"/>
        <c:ser>
          <c:idx val="0"/>
          <c:order val="0"/>
          <c:tx>
            <c:v>Acrylamide solution</c:v>
          </c:tx>
          <c:spPr>
            <a:ln w="15875">
              <a:solidFill>
                <a:sysClr val="windowText" lastClr="000000"/>
              </a:solidFill>
              <a:prstDash val="sysDash"/>
            </a:ln>
          </c:spPr>
          <c:marker>
            <c:symbol val="circle"/>
            <c:size val="4"/>
            <c:spPr>
              <a:noFill/>
              <a:ln w="19050">
                <a:solidFill>
                  <a:sysClr val="windowText" lastClr="000000"/>
                </a:solidFill>
                <a:prstDash val="sysDash"/>
              </a:ln>
            </c:spPr>
          </c:marker>
          <c:errBars>
            <c:errDir val="y"/>
            <c:errBarType val="both"/>
            <c:errValType val="cust"/>
            <c:noEndCap val="0"/>
            <c:plus>
              <c:numRef>
                <c:f>Thesis!$F$5:$F$11</c:f>
                <c:numCache>
                  <c:formatCode>General</c:formatCode>
                  <c:ptCount val="7"/>
                  <c:pt idx="0">
                    <c:v>6.0643837894179082E-3</c:v>
                  </c:pt>
                  <c:pt idx="1">
                    <c:v>2.3839517221557016E-3</c:v>
                  </c:pt>
                  <c:pt idx="2">
                    <c:v>8.6059260886563651E-3</c:v>
                  </c:pt>
                  <c:pt idx="3">
                    <c:v>9.6607912956203218E-3</c:v>
                  </c:pt>
                  <c:pt idx="4">
                    <c:v>7.0533052914302707E-3</c:v>
                  </c:pt>
                  <c:pt idx="5">
                    <c:v>1.7211935001489782E-2</c:v>
                  </c:pt>
                  <c:pt idx="6">
                    <c:v>3.1533910869728309E-2</c:v>
                  </c:pt>
                </c:numCache>
              </c:numRef>
            </c:plus>
            <c:minus>
              <c:numRef>
                <c:f>Thesis!$F$5:$F$11</c:f>
                <c:numCache>
                  <c:formatCode>General</c:formatCode>
                  <c:ptCount val="7"/>
                  <c:pt idx="0">
                    <c:v>6.0643837894179082E-3</c:v>
                  </c:pt>
                  <c:pt idx="1">
                    <c:v>2.3839517221557016E-3</c:v>
                  </c:pt>
                  <c:pt idx="2">
                    <c:v>8.6059260886563651E-3</c:v>
                  </c:pt>
                  <c:pt idx="3">
                    <c:v>9.6607912956203218E-3</c:v>
                  </c:pt>
                  <c:pt idx="4">
                    <c:v>7.0533052914302707E-3</c:v>
                  </c:pt>
                  <c:pt idx="5">
                    <c:v>1.7211935001489782E-2</c:v>
                  </c:pt>
                  <c:pt idx="6">
                    <c:v>3.1533910869728309E-2</c:v>
                  </c:pt>
                </c:numCache>
              </c:numRef>
            </c:minus>
          </c:errBars>
          <c:xVal>
            <c:numRef>
              <c:f>Thesis!$A$5:$A$11</c:f>
              <c:numCache>
                <c:formatCode>0.0</c:formatCode>
                <c:ptCount val="7"/>
                <c:pt idx="0">
                  <c:v>0</c:v>
                </c:pt>
                <c:pt idx="1">
                  <c:v>0.5</c:v>
                </c:pt>
                <c:pt idx="2">
                  <c:v>1</c:v>
                </c:pt>
                <c:pt idx="3">
                  <c:v>2</c:v>
                </c:pt>
                <c:pt idx="4">
                  <c:v>4</c:v>
                </c:pt>
                <c:pt idx="5">
                  <c:v>6</c:v>
                </c:pt>
                <c:pt idx="6">
                  <c:v>8</c:v>
                </c:pt>
              </c:numCache>
            </c:numRef>
          </c:xVal>
          <c:yVal>
            <c:numRef>
              <c:f>Thesis!$E$5:$E$11</c:f>
              <c:numCache>
                <c:formatCode>0.0000</c:formatCode>
                <c:ptCount val="7"/>
                <c:pt idx="0">
                  <c:v>5.7994662393333384E-3</c:v>
                </c:pt>
                <c:pt idx="1">
                  <c:v>6.2183248806666697E-3</c:v>
                </c:pt>
                <c:pt idx="2">
                  <c:v>2.7773541090000013E-2</c:v>
                </c:pt>
                <c:pt idx="3">
                  <c:v>6.3663200786666679E-2</c:v>
                </c:pt>
                <c:pt idx="4">
                  <c:v>0.19426805280000009</c:v>
                </c:pt>
                <c:pt idx="5">
                  <c:v>0.31731392936666697</c:v>
                </c:pt>
                <c:pt idx="6">
                  <c:v>0.31088867783333357</c:v>
                </c:pt>
              </c:numCache>
            </c:numRef>
          </c:yVal>
          <c:smooth val="0"/>
          <c:extLst xmlns:c16r2="http://schemas.microsoft.com/office/drawing/2015/06/chart">
            <c:ext xmlns:c16="http://schemas.microsoft.com/office/drawing/2014/chart" uri="{C3380CC4-5D6E-409C-BE32-E72D297353CC}">
              <c16:uniqueId val="{00000000-2BA3-4942-A727-FA4BA0589041}"/>
            </c:ext>
          </c:extLst>
        </c:ser>
        <c:ser>
          <c:idx val="1"/>
          <c:order val="1"/>
          <c:tx>
            <c:v>Control</c:v>
          </c:tx>
          <c:spPr>
            <a:ln w="15875">
              <a:solidFill>
                <a:schemeClr val="tx1"/>
              </a:solidFill>
            </a:ln>
          </c:spPr>
          <c:marker>
            <c:symbol val="square"/>
            <c:size val="4"/>
            <c:spPr>
              <a:solidFill>
                <a:schemeClr val="bg1"/>
              </a:solidFill>
              <a:ln w="19050">
                <a:solidFill>
                  <a:schemeClr val="tx1"/>
                </a:solidFill>
              </a:ln>
            </c:spPr>
          </c:marker>
          <c:errBars>
            <c:errDir val="y"/>
            <c:errBarType val="both"/>
            <c:errValType val="cust"/>
            <c:noEndCap val="0"/>
            <c:plus>
              <c:numRef>
                <c:f>Thesis!$F$16:$F$22</c:f>
                <c:numCache>
                  <c:formatCode>General</c:formatCode>
                  <c:ptCount val="7"/>
                  <c:pt idx="0">
                    <c:v>3.7675384937838445E-3</c:v>
                  </c:pt>
                  <c:pt idx="1">
                    <c:v>6.1324154369890029E-4</c:v>
                  </c:pt>
                  <c:pt idx="2">
                    <c:v>3.5740188082653622E-3</c:v>
                  </c:pt>
                  <c:pt idx="3">
                    <c:v>5.250525931476061E-3</c:v>
                  </c:pt>
                  <c:pt idx="4">
                    <c:v>2.1426249605358402E-3</c:v>
                  </c:pt>
                  <c:pt idx="5">
                    <c:v>1.0368413954941936E-2</c:v>
                  </c:pt>
                  <c:pt idx="6">
                    <c:v>9.9541002952806042E-3</c:v>
                  </c:pt>
                </c:numCache>
              </c:numRef>
            </c:plus>
            <c:minus>
              <c:numRef>
                <c:f>Thesis!$F$16:$F$22</c:f>
                <c:numCache>
                  <c:formatCode>General</c:formatCode>
                  <c:ptCount val="7"/>
                  <c:pt idx="0">
                    <c:v>3.7675384937838445E-3</c:v>
                  </c:pt>
                  <c:pt idx="1">
                    <c:v>6.1324154369890029E-4</c:v>
                  </c:pt>
                  <c:pt idx="2">
                    <c:v>3.5740188082653622E-3</c:v>
                  </c:pt>
                  <c:pt idx="3">
                    <c:v>5.250525931476061E-3</c:v>
                  </c:pt>
                  <c:pt idx="4">
                    <c:v>2.1426249605358402E-3</c:v>
                  </c:pt>
                  <c:pt idx="5">
                    <c:v>1.0368413954941936E-2</c:v>
                  </c:pt>
                  <c:pt idx="6">
                    <c:v>9.9541002952806042E-3</c:v>
                  </c:pt>
                </c:numCache>
              </c:numRef>
            </c:minus>
          </c:errBars>
          <c:xVal>
            <c:numRef>
              <c:f>Thesis!$A$16:$A$22</c:f>
              <c:numCache>
                <c:formatCode>0.0</c:formatCode>
                <c:ptCount val="7"/>
                <c:pt idx="0">
                  <c:v>0</c:v>
                </c:pt>
                <c:pt idx="1">
                  <c:v>0.5</c:v>
                </c:pt>
                <c:pt idx="2">
                  <c:v>1</c:v>
                </c:pt>
                <c:pt idx="3">
                  <c:v>2</c:v>
                </c:pt>
                <c:pt idx="4">
                  <c:v>4</c:v>
                </c:pt>
                <c:pt idx="5">
                  <c:v>6</c:v>
                </c:pt>
                <c:pt idx="6">
                  <c:v>8</c:v>
                </c:pt>
              </c:numCache>
            </c:numRef>
          </c:xVal>
          <c:yVal>
            <c:numRef>
              <c:f>Thesis!$E$16:$E$22</c:f>
              <c:numCache>
                <c:formatCode>0.0000</c:formatCode>
                <c:ptCount val="7"/>
                <c:pt idx="0">
                  <c:v>5.2958731153333379E-3</c:v>
                </c:pt>
                <c:pt idx="1">
                  <c:v>2.0934247876666688E-3</c:v>
                </c:pt>
                <c:pt idx="2">
                  <c:v>5.0645981098666687E-3</c:v>
                </c:pt>
                <c:pt idx="3">
                  <c:v>8.1054678506666759E-3</c:v>
                </c:pt>
                <c:pt idx="4">
                  <c:v>5.5125584669999976E-3</c:v>
                </c:pt>
                <c:pt idx="5">
                  <c:v>1.5190524512000007E-2</c:v>
                </c:pt>
                <c:pt idx="6">
                  <c:v>1.9376213351999998E-2</c:v>
                </c:pt>
              </c:numCache>
            </c:numRef>
          </c:yVal>
          <c:smooth val="0"/>
          <c:extLst xmlns:c16r2="http://schemas.microsoft.com/office/drawing/2015/06/chart">
            <c:ext xmlns:c16="http://schemas.microsoft.com/office/drawing/2014/chart" uri="{C3380CC4-5D6E-409C-BE32-E72D297353CC}">
              <c16:uniqueId val="{00000001-2BA3-4942-A727-FA4BA0589041}"/>
            </c:ext>
          </c:extLst>
        </c:ser>
        <c:dLbls>
          <c:showLegendKey val="0"/>
          <c:showVal val="0"/>
          <c:showCatName val="0"/>
          <c:showSerName val="0"/>
          <c:showPercent val="0"/>
          <c:showBubbleSize val="0"/>
        </c:dLbls>
        <c:axId val="79315712"/>
        <c:axId val="79317632"/>
      </c:scatterChart>
      <c:valAx>
        <c:axId val="79315712"/>
        <c:scaling>
          <c:orientation val="minMax"/>
          <c:max val="8.5"/>
          <c:min val="0"/>
        </c:scaling>
        <c:delete val="0"/>
        <c:axPos val="b"/>
        <c:title>
          <c:tx>
            <c:rich>
              <a:bodyPr/>
              <a:lstStyle/>
              <a:p>
                <a:pPr>
                  <a:defRPr sz="900"/>
                </a:pPr>
                <a:r>
                  <a:rPr lang="en-US" sz="900"/>
                  <a:t>Concentration of NaOH (M) </a:t>
                </a:r>
              </a:p>
            </c:rich>
          </c:tx>
          <c:layout>
            <c:manualLayout>
              <c:xMode val="edge"/>
              <c:yMode val="edge"/>
              <c:x val="0.30901990238641552"/>
              <c:y val="0.90429042904290424"/>
            </c:manualLayout>
          </c:layout>
          <c:overlay val="0"/>
        </c:title>
        <c:numFmt formatCode="0.0" sourceLinked="1"/>
        <c:majorTickMark val="out"/>
        <c:minorTickMark val="none"/>
        <c:tickLblPos val="nextTo"/>
        <c:txPr>
          <a:bodyPr/>
          <a:lstStyle/>
          <a:p>
            <a:pPr>
              <a:defRPr sz="900"/>
            </a:pPr>
            <a:endParaRPr lang="en-US"/>
          </a:p>
        </c:txPr>
        <c:crossAx val="79317632"/>
        <c:crosses val="autoZero"/>
        <c:crossBetween val="midCat"/>
        <c:majorUnit val="1"/>
      </c:valAx>
      <c:valAx>
        <c:axId val="79317632"/>
        <c:scaling>
          <c:orientation val="minMax"/>
          <c:max val="0.4"/>
          <c:min val="0"/>
        </c:scaling>
        <c:delete val="0"/>
        <c:axPos val="l"/>
        <c:title>
          <c:tx>
            <c:rich>
              <a:bodyPr rot="-5400000" vert="horz"/>
              <a:lstStyle/>
              <a:p>
                <a:pPr>
                  <a:defRPr sz="900"/>
                </a:pPr>
                <a:r>
                  <a:rPr lang="en-US" sz="900"/>
                  <a:t>Absorbance</a:t>
                </a:r>
              </a:p>
            </c:rich>
          </c:tx>
          <c:layout>
            <c:manualLayout>
              <c:xMode val="edge"/>
              <c:yMode val="edge"/>
              <c:x val="3.7571925975218154E-3"/>
              <c:y val="0.20849718042670409"/>
            </c:manualLayout>
          </c:layout>
          <c:overlay val="0"/>
        </c:title>
        <c:numFmt formatCode="0.00" sourceLinked="0"/>
        <c:majorTickMark val="out"/>
        <c:minorTickMark val="none"/>
        <c:tickLblPos val="nextTo"/>
        <c:txPr>
          <a:bodyPr/>
          <a:lstStyle/>
          <a:p>
            <a:pPr>
              <a:defRPr sz="900"/>
            </a:pPr>
            <a:endParaRPr lang="en-US"/>
          </a:p>
        </c:txPr>
        <c:crossAx val="79315712"/>
        <c:crosses val="autoZero"/>
        <c:crossBetween val="midCat"/>
        <c:majorUnit val="0.1"/>
      </c:valAx>
      <c:spPr>
        <a:ln>
          <a:solidFill>
            <a:sysClr val="windowText" lastClr="000000"/>
          </a:solidFill>
        </a:ln>
      </c:spPr>
    </c:plotArea>
    <c:legend>
      <c:legendPos val="r"/>
      <c:layout>
        <c:manualLayout>
          <c:xMode val="edge"/>
          <c:yMode val="edge"/>
          <c:x val="0.12016189700425378"/>
          <c:y val="6.9197127485164073E-2"/>
          <c:w val="0.43977314874387835"/>
          <c:h val="0.33032268025320394"/>
        </c:manualLayout>
      </c:layout>
      <c:overlay val="1"/>
      <c:spPr>
        <a:ln>
          <a:noFill/>
        </a:ln>
      </c:spPr>
      <c:txPr>
        <a:bodyPr/>
        <a:lstStyle/>
        <a:p>
          <a:pPr>
            <a:defRPr sz="900"/>
          </a:pPr>
          <a:endParaRPr lang="en-US"/>
        </a:p>
      </c:txPr>
    </c:legend>
    <c:plotVisOnly val="1"/>
    <c:dispBlanksAs val="gap"/>
    <c:showDLblsOverMax val="0"/>
  </c:chart>
  <c:spPr>
    <a:ln w="6350">
      <a:solidFill>
        <a:schemeClr val="tx1"/>
      </a:solidFill>
    </a:ln>
  </c:spPr>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58989935338065"/>
          <c:y val="3.7750116918609231E-2"/>
          <c:w val="0.81332205510938871"/>
          <c:h val="0.75444146847373006"/>
        </c:manualLayout>
      </c:layout>
      <c:scatterChart>
        <c:scatterStyle val="lineMarker"/>
        <c:varyColors val="0"/>
        <c:ser>
          <c:idx val="0"/>
          <c:order val="0"/>
          <c:spPr>
            <a:ln w="19050">
              <a:solidFill>
                <a:sysClr val="windowText" lastClr="000000"/>
              </a:solidFill>
              <a:prstDash val="sysDash"/>
            </a:ln>
          </c:spPr>
          <c:marker>
            <c:symbol val="circle"/>
            <c:size val="5"/>
            <c:spPr>
              <a:solidFill>
                <a:schemeClr val="bg1"/>
              </a:solidFill>
              <a:ln w="19050">
                <a:solidFill>
                  <a:sysClr val="windowText" lastClr="000000"/>
                </a:solidFill>
                <a:prstDash val="sysDash"/>
              </a:ln>
            </c:spPr>
          </c:marker>
          <c:errBars>
            <c:errDir val="y"/>
            <c:errBarType val="both"/>
            <c:errValType val="cust"/>
            <c:noEndCap val="0"/>
            <c:plus>
              <c:numRef>
                <c:f>Thesis!$F$5:$F$11</c:f>
                <c:numCache>
                  <c:formatCode>General</c:formatCode>
                  <c:ptCount val="7"/>
                  <c:pt idx="0">
                    <c:v>6.0643837894179074E-3</c:v>
                  </c:pt>
                  <c:pt idx="1">
                    <c:v>2.3839517221557016E-3</c:v>
                  </c:pt>
                  <c:pt idx="2">
                    <c:v>8.6059260886563634E-3</c:v>
                  </c:pt>
                  <c:pt idx="3">
                    <c:v>9.6607912956203183E-3</c:v>
                  </c:pt>
                  <c:pt idx="4">
                    <c:v>7.0533052914302707E-3</c:v>
                  </c:pt>
                  <c:pt idx="5">
                    <c:v>1.7211935001489778E-2</c:v>
                  </c:pt>
                  <c:pt idx="6">
                    <c:v>3.1533910869728309E-2</c:v>
                  </c:pt>
                </c:numCache>
              </c:numRef>
            </c:plus>
            <c:minus>
              <c:numRef>
                <c:f>Thesis!$F$5:$F$11</c:f>
                <c:numCache>
                  <c:formatCode>General</c:formatCode>
                  <c:ptCount val="7"/>
                  <c:pt idx="0">
                    <c:v>6.0643837894179074E-3</c:v>
                  </c:pt>
                  <c:pt idx="1">
                    <c:v>2.3839517221557016E-3</c:v>
                  </c:pt>
                  <c:pt idx="2">
                    <c:v>8.6059260886563634E-3</c:v>
                  </c:pt>
                  <c:pt idx="3">
                    <c:v>9.6607912956203183E-3</c:v>
                  </c:pt>
                  <c:pt idx="4">
                    <c:v>7.0533052914302707E-3</c:v>
                  </c:pt>
                  <c:pt idx="5">
                    <c:v>1.7211935001489778E-2</c:v>
                  </c:pt>
                  <c:pt idx="6">
                    <c:v>3.1533910869728309E-2</c:v>
                  </c:pt>
                </c:numCache>
              </c:numRef>
            </c:minus>
          </c:errBars>
          <c:xVal>
            <c:numRef>
              <c:f>Thesis!$A$28:$A$33</c:f>
              <c:numCache>
                <c:formatCode>General</c:formatCode>
                <c:ptCount val="6"/>
                <c:pt idx="0">
                  <c:v>0</c:v>
                </c:pt>
                <c:pt idx="1">
                  <c:v>5</c:v>
                </c:pt>
                <c:pt idx="2">
                  <c:v>10</c:v>
                </c:pt>
                <c:pt idx="3">
                  <c:v>20</c:v>
                </c:pt>
                <c:pt idx="4">
                  <c:v>30</c:v>
                </c:pt>
                <c:pt idx="5">
                  <c:v>40</c:v>
                </c:pt>
              </c:numCache>
            </c:numRef>
          </c:xVal>
          <c:yVal>
            <c:numRef>
              <c:f>Thesis!$E$28:$E$33</c:f>
              <c:numCache>
                <c:formatCode>0.0000</c:formatCode>
                <c:ptCount val="6"/>
                <c:pt idx="0">
                  <c:v>1.7153950176666667E-3</c:v>
                </c:pt>
                <c:pt idx="1">
                  <c:v>0.2018741567666667</c:v>
                </c:pt>
                <c:pt idx="2">
                  <c:v>0.25783657033333335</c:v>
                </c:pt>
                <c:pt idx="3">
                  <c:v>0.27878465253333329</c:v>
                </c:pt>
                <c:pt idx="4">
                  <c:v>0.26527610423333325</c:v>
                </c:pt>
                <c:pt idx="5">
                  <c:v>0.25737331313333334</c:v>
                </c:pt>
              </c:numCache>
            </c:numRef>
          </c:yVal>
          <c:smooth val="0"/>
          <c:extLst xmlns:c16r2="http://schemas.microsoft.com/office/drawing/2015/06/chart">
            <c:ext xmlns:c16="http://schemas.microsoft.com/office/drawing/2014/chart" uri="{C3380CC4-5D6E-409C-BE32-E72D297353CC}">
              <c16:uniqueId val="{00000000-61DB-4E81-BAA2-FC07E450FA01}"/>
            </c:ext>
          </c:extLst>
        </c:ser>
        <c:dLbls>
          <c:showLegendKey val="0"/>
          <c:showVal val="0"/>
          <c:showCatName val="0"/>
          <c:showSerName val="0"/>
          <c:showPercent val="0"/>
          <c:showBubbleSize val="0"/>
        </c:dLbls>
        <c:axId val="79341440"/>
        <c:axId val="79343616"/>
      </c:scatterChart>
      <c:valAx>
        <c:axId val="79341440"/>
        <c:scaling>
          <c:orientation val="minMax"/>
          <c:min val="0"/>
        </c:scaling>
        <c:delete val="0"/>
        <c:axPos val="b"/>
        <c:title>
          <c:tx>
            <c:rich>
              <a:bodyPr/>
              <a:lstStyle/>
              <a:p>
                <a:pPr>
                  <a:defRPr/>
                </a:pPr>
                <a:r>
                  <a:rPr lang="en-US"/>
                  <a:t>Time of hydrolysis (minutes)</a:t>
                </a:r>
              </a:p>
            </c:rich>
          </c:tx>
          <c:layout>
            <c:manualLayout>
              <c:xMode val="edge"/>
              <c:yMode val="edge"/>
              <c:x val="0.32416119030792107"/>
              <c:y val="0.89835261128636523"/>
            </c:manualLayout>
          </c:layout>
          <c:overlay val="0"/>
        </c:title>
        <c:numFmt formatCode="General" sourceLinked="1"/>
        <c:majorTickMark val="out"/>
        <c:minorTickMark val="none"/>
        <c:tickLblPos val="nextTo"/>
        <c:crossAx val="79343616"/>
        <c:crosses val="autoZero"/>
        <c:crossBetween val="midCat"/>
        <c:majorUnit val="5"/>
      </c:valAx>
      <c:valAx>
        <c:axId val="79343616"/>
        <c:scaling>
          <c:orientation val="minMax"/>
          <c:max val="0.4"/>
          <c:min val="0"/>
        </c:scaling>
        <c:delete val="0"/>
        <c:axPos val="l"/>
        <c:title>
          <c:tx>
            <c:rich>
              <a:bodyPr rot="-5400000" vert="horz"/>
              <a:lstStyle/>
              <a:p>
                <a:pPr>
                  <a:defRPr/>
                </a:pPr>
                <a:r>
                  <a:rPr lang="en-US"/>
                  <a:t>Absorbance</a:t>
                </a:r>
              </a:p>
            </c:rich>
          </c:tx>
          <c:layout>
            <c:manualLayout>
              <c:xMode val="edge"/>
              <c:yMode val="edge"/>
              <c:x val="5.5962762203103037E-3"/>
              <c:y val="0.20257388962026435"/>
            </c:manualLayout>
          </c:layout>
          <c:overlay val="0"/>
        </c:title>
        <c:numFmt formatCode="0.00" sourceLinked="0"/>
        <c:majorTickMark val="out"/>
        <c:minorTickMark val="none"/>
        <c:tickLblPos val="nextTo"/>
        <c:crossAx val="79341440"/>
        <c:crosses val="autoZero"/>
        <c:crossBetween val="midCat"/>
        <c:majorUnit val="0.1"/>
      </c:valAx>
      <c:spPr>
        <a:ln>
          <a:solidFill>
            <a:sysClr val="windowText" lastClr="000000"/>
          </a:solidFill>
        </a:ln>
      </c:spPr>
    </c:plotArea>
    <c:plotVisOnly val="1"/>
    <c:dispBlanksAs val="gap"/>
    <c:showDLblsOverMax val="0"/>
  </c:chart>
  <c:spPr>
    <a:ln w="6350">
      <a:solidFill>
        <a:schemeClr val="tx1"/>
      </a:solidFill>
    </a:ln>
  </c:spPr>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417433951466947"/>
          <c:y val="4.7774920992018896E-2"/>
          <c:w val="0.6790540625004341"/>
          <c:h val="0.72170065775003645"/>
        </c:manualLayout>
      </c:layout>
      <c:scatterChart>
        <c:scatterStyle val="lineMarker"/>
        <c:varyColors val="0"/>
        <c:ser>
          <c:idx val="0"/>
          <c:order val="0"/>
          <c:spPr>
            <a:ln w="19050">
              <a:solidFill>
                <a:sysClr val="windowText" lastClr="000000"/>
              </a:solidFill>
              <a:prstDash val="sysDash"/>
            </a:ln>
          </c:spPr>
          <c:marker>
            <c:symbol val="circle"/>
            <c:size val="5"/>
            <c:spPr>
              <a:solidFill>
                <a:schemeClr val="bg1"/>
              </a:solidFill>
              <a:ln w="19050">
                <a:solidFill>
                  <a:sysClr val="windowText" lastClr="000000"/>
                </a:solidFill>
                <a:prstDash val="solid"/>
              </a:ln>
            </c:spPr>
          </c:marker>
          <c:errBars>
            <c:errDir val="y"/>
            <c:errBarType val="both"/>
            <c:errValType val="cust"/>
            <c:noEndCap val="0"/>
            <c:plus>
              <c:numRef>
                <c:f>Thesis!$F$48:$F$52</c:f>
                <c:numCache>
                  <c:formatCode>General</c:formatCode>
                  <c:ptCount val="5"/>
                  <c:pt idx="0">
                    <c:v>8.3407164044450519E-3</c:v>
                  </c:pt>
                  <c:pt idx="1">
                    <c:v>7.077170026796439E-3</c:v>
                  </c:pt>
                  <c:pt idx="2">
                    <c:v>8.6392158156942851E-3</c:v>
                  </c:pt>
                  <c:pt idx="3">
                    <c:v>3.484048771163558E-2</c:v>
                  </c:pt>
                  <c:pt idx="4">
                    <c:v>8.1077072691540398E-3</c:v>
                  </c:pt>
                </c:numCache>
              </c:numRef>
            </c:plus>
            <c:minus>
              <c:numRef>
                <c:f>Thesis!$F$48:$F$52</c:f>
                <c:numCache>
                  <c:formatCode>General</c:formatCode>
                  <c:ptCount val="5"/>
                  <c:pt idx="0">
                    <c:v>8.3407164044450519E-3</c:v>
                  </c:pt>
                  <c:pt idx="1">
                    <c:v>7.077170026796439E-3</c:v>
                  </c:pt>
                  <c:pt idx="2">
                    <c:v>8.6392158156942851E-3</c:v>
                  </c:pt>
                  <c:pt idx="3">
                    <c:v>3.484048771163558E-2</c:v>
                  </c:pt>
                  <c:pt idx="4">
                    <c:v>8.1077072691540398E-3</c:v>
                  </c:pt>
                </c:numCache>
              </c:numRef>
            </c:minus>
          </c:errBars>
          <c:xVal>
            <c:numRef>
              <c:f>Thesis!$A$48:$A$52</c:f>
              <c:numCache>
                <c:formatCode>0.000</c:formatCode>
                <c:ptCount val="5"/>
                <c:pt idx="0">
                  <c:v>0</c:v>
                </c:pt>
                <c:pt idx="1">
                  <c:v>2.5000000000000001E-2</c:v>
                </c:pt>
                <c:pt idx="2">
                  <c:v>0.05</c:v>
                </c:pt>
                <c:pt idx="3">
                  <c:v>7.5000000000000011E-2</c:v>
                </c:pt>
                <c:pt idx="4">
                  <c:v>0.1</c:v>
                </c:pt>
              </c:numCache>
            </c:numRef>
          </c:xVal>
          <c:yVal>
            <c:numRef>
              <c:f>Thesis!$E$48:$E$52</c:f>
              <c:numCache>
                <c:formatCode>0.0000</c:formatCode>
                <c:ptCount val="5"/>
                <c:pt idx="0">
                  <c:v>1.4052163964666664E-2</c:v>
                </c:pt>
                <c:pt idx="1">
                  <c:v>0.10704307006666672</c:v>
                </c:pt>
                <c:pt idx="2">
                  <c:v>0.21203845243333344</c:v>
                </c:pt>
                <c:pt idx="3">
                  <c:v>0.3036233485</c:v>
                </c:pt>
                <c:pt idx="4">
                  <c:v>0.31185191873333334</c:v>
                </c:pt>
              </c:numCache>
            </c:numRef>
          </c:yVal>
          <c:smooth val="0"/>
          <c:extLst xmlns:c16r2="http://schemas.microsoft.com/office/drawing/2015/06/chart">
            <c:ext xmlns:c16="http://schemas.microsoft.com/office/drawing/2014/chart" uri="{C3380CC4-5D6E-409C-BE32-E72D297353CC}">
              <c16:uniqueId val="{00000000-8DBE-478F-9C1F-A4FF452F8EDB}"/>
            </c:ext>
          </c:extLst>
        </c:ser>
        <c:dLbls>
          <c:showLegendKey val="0"/>
          <c:showVal val="0"/>
          <c:showCatName val="0"/>
          <c:showSerName val="0"/>
          <c:showPercent val="0"/>
          <c:showBubbleSize val="0"/>
        </c:dLbls>
        <c:axId val="79495552"/>
        <c:axId val="79497472"/>
      </c:scatterChart>
      <c:valAx>
        <c:axId val="79495552"/>
        <c:scaling>
          <c:orientation val="minMax"/>
          <c:max val="0.1"/>
          <c:min val="0"/>
        </c:scaling>
        <c:delete val="0"/>
        <c:axPos val="b"/>
        <c:title>
          <c:tx>
            <c:rich>
              <a:bodyPr/>
              <a:lstStyle/>
              <a:p>
                <a:pPr>
                  <a:defRPr sz="900"/>
                </a:pPr>
                <a:r>
                  <a:rPr lang="en-US" sz="900"/>
                  <a:t>Concentration HgI</a:t>
                </a:r>
                <a:r>
                  <a:rPr lang="en-US" sz="900" baseline="-25000"/>
                  <a:t>2</a:t>
                </a:r>
                <a:r>
                  <a:rPr lang="en-US" sz="900"/>
                  <a:t> (M)</a:t>
                </a:r>
              </a:p>
            </c:rich>
          </c:tx>
          <c:layout>
            <c:manualLayout>
              <c:xMode val="edge"/>
              <c:yMode val="edge"/>
              <c:x val="0.2963705079288797"/>
              <c:y val="0.89230633880262189"/>
            </c:manualLayout>
          </c:layout>
          <c:overlay val="0"/>
        </c:title>
        <c:numFmt formatCode="0.00" sourceLinked="0"/>
        <c:majorTickMark val="out"/>
        <c:minorTickMark val="none"/>
        <c:tickLblPos val="nextTo"/>
        <c:txPr>
          <a:bodyPr/>
          <a:lstStyle/>
          <a:p>
            <a:pPr>
              <a:defRPr sz="900"/>
            </a:pPr>
            <a:endParaRPr lang="en-US"/>
          </a:p>
        </c:txPr>
        <c:crossAx val="79497472"/>
        <c:crosses val="autoZero"/>
        <c:crossBetween val="midCat"/>
      </c:valAx>
      <c:valAx>
        <c:axId val="79497472"/>
        <c:scaling>
          <c:orientation val="minMax"/>
          <c:min val="0"/>
        </c:scaling>
        <c:delete val="0"/>
        <c:axPos val="l"/>
        <c:title>
          <c:tx>
            <c:rich>
              <a:bodyPr rot="-5400000" vert="horz"/>
              <a:lstStyle/>
              <a:p>
                <a:pPr>
                  <a:defRPr/>
                </a:pPr>
                <a:r>
                  <a:rPr lang="en-US" sz="900"/>
                  <a:t>Absorbance</a:t>
                </a:r>
                <a:endParaRPr lang="en-US"/>
              </a:p>
            </c:rich>
          </c:tx>
          <c:layout>
            <c:manualLayout>
              <c:xMode val="edge"/>
              <c:yMode val="edge"/>
              <c:x val="5.7885196878172909E-2"/>
              <c:y val="0.24284659213246682"/>
            </c:manualLayout>
          </c:layout>
          <c:overlay val="0"/>
        </c:title>
        <c:numFmt formatCode="0.00" sourceLinked="0"/>
        <c:majorTickMark val="out"/>
        <c:minorTickMark val="none"/>
        <c:tickLblPos val="nextTo"/>
        <c:txPr>
          <a:bodyPr/>
          <a:lstStyle/>
          <a:p>
            <a:pPr>
              <a:defRPr sz="900"/>
            </a:pPr>
            <a:endParaRPr lang="en-US"/>
          </a:p>
        </c:txPr>
        <c:crossAx val="79495552"/>
        <c:crosses val="autoZero"/>
        <c:crossBetween val="midCat"/>
      </c:valAx>
      <c:spPr>
        <a:ln>
          <a:solidFill>
            <a:sysClr val="windowText" lastClr="000000"/>
          </a:solidFill>
        </a:ln>
      </c:spPr>
    </c:plotArea>
    <c:plotVisOnly val="1"/>
    <c:dispBlanksAs val="gap"/>
    <c:showDLblsOverMax val="0"/>
  </c:chart>
  <c:spPr>
    <a:ln w="6350">
      <a:solidFill>
        <a:schemeClr val="tx1"/>
      </a:solidFill>
    </a:ln>
  </c:spPr>
  <c:txPr>
    <a:bodyPr/>
    <a:lstStyle/>
    <a:p>
      <a:pPr>
        <a:defRPr sz="1000">
          <a:latin typeface="Times New Roman" pitchFamily="18" charset="0"/>
          <a:cs typeface="Times New Roman"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61512466612868"/>
          <c:y val="4.8737805180012875E-2"/>
          <c:w val="0.69880146618645678"/>
          <c:h val="0.72969367508861449"/>
        </c:manualLayout>
      </c:layout>
      <c:scatterChart>
        <c:scatterStyle val="lineMarker"/>
        <c:varyColors val="0"/>
        <c:ser>
          <c:idx val="0"/>
          <c:order val="0"/>
          <c:spPr>
            <a:ln w="19050">
              <a:solidFill>
                <a:sysClr val="windowText" lastClr="000000"/>
              </a:solidFill>
              <a:prstDash val="sysDash"/>
            </a:ln>
          </c:spPr>
          <c:marker>
            <c:symbol val="circle"/>
            <c:size val="5"/>
            <c:spPr>
              <a:solidFill>
                <a:schemeClr val="bg1"/>
              </a:solidFill>
              <a:ln w="19050">
                <a:solidFill>
                  <a:sysClr val="windowText" lastClr="000000"/>
                </a:solidFill>
                <a:prstDash val="solid"/>
              </a:ln>
            </c:spPr>
          </c:marker>
          <c:errBars>
            <c:errDir val="y"/>
            <c:errBarType val="both"/>
            <c:errValType val="cust"/>
            <c:noEndCap val="0"/>
            <c:plus>
              <c:numRef>
                <c:f>Thesis!$F$67:$F$71</c:f>
                <c:numCache>
                  <c:formatCode>General</c:formatCode>
                  <c:ptCount val="5"/>
                  <c:pt idx="0">
                    <c:v>1.2218751346253281E-2</c:v>
                  </c:pt>
                  <c:pt idx="1">
                    <c:v>6.8522850651944337E-3</c:v>
                  </c:pt>
                  <c:pt idx="2">
                    <c:v>1.1187695745339569E-2</c:v>
                  </c:pt>
                  <c:pt idx="3">
                    <c:v>1.1816093373392601E-2</c:v>
                  </c:pt>
                  <c:pt idx="4">
                    <c:v>2.2688685900992905E-3</c:v>
                  </c:pt>
                </c:numCache>
              </c:numRef>
            </c:plus>
            <c:minus>
              <c:numRef>
                <c:f>Thesis!$F$67:$F$71</c:f>
                <c:numCache>
                  <c:formatCode>General</c:formatCode>
                  <c:ptCount val="5"/>
                  <c:pt idx="0">
                    <c:v>1.2218751346253281E-2</c:v>
                  </c:pt>
                  <c:pt idx="1">
                    <c:v>6.8522850651944337E-3</c:v>
                  </c:pt>
                  <c:pt idx="2">
                    <c:v>1.1187695745339569E-2</c:v>
                  </c:pt>
                  <c:pt idx="3">
                    <c:v>1.1816093373392601E-2</c:v>
                  </c:pt>
                  <c:pt idx="4">
                    <c:v>2.2688685900992905E-3</c:v>
                  </c:pt>
                </c:numCache>
              </c:numRef>
            </c:minus>
          </c:errBars>
          <c:xVal>
            <c:numRef>
              <c:f>Thesis!$A$67:$A$71</c:f>
              <c:numCache>
                <c:formatCode>0.000</c:formatCode>
                <c:ptCount val="5"/>
                <c:pt idx="0">
                  <c:v>0.15000000000000005</c:v>
                </c:pt>
                <c:pt idx="1">
                  <c:v>0.17500000000000004</c:v>
                </c:pt>
                <c:pt idx="2">
                  <c:v>0.2</c:v>
                </c:pt>
                <c:pt idx="3">
                  <c:v>0.22500000000000001</c:v>
                </c:pt>
                <c:pt idx="4">
                  <c:v>0.25</c:v>
                </c:pt>
              </c:numCache>
            </c:numRef>
          </c:xVal>
          <c:yVal>
            <c:numRef>
              <c:f>Thesis!$E$67:$E$71</c:f>
              <c:numCache>
                <c:formatCode>0.0000</c:formatCode>
                <c:ptCount val="5"/>
                <c:pt idx="0">
                  <c:v>0.3202372094</c:v>
                </c:pt>
                <c:pt idx="1">
                  <c:v>0.30223252376666682</c:v>
                </c:pt>
                <c:pt idx="2">
                  <c:v>0.32206329703333331</c:v>
                </c:pt>
                <c:pt idx="3">
                  <c:v>0.31472713750000014</c:v>
                </c:pt>
                <c:pt idx="4">
                  <c:v>0.33334053556666687</c:v>
                </c:pt>
              </c:numCache>
            </c:numRef>
          </c:yVal>
          <c:smooth val="0"/>
          <c:extLst xmlns:c16r2="http://schemas.microsoft.com/office/drawing/2015/06/chart">
            <c:ext xmlns:c16="http://schemas.microsoft.com/office/drawing/2014/chart" uri="{C3380CC4-5D6E-409C-BE32-E72D297353CC}">
              <c16:uniqueId val="{00000000-DFDC-4CBF-8481-D84D071BA570}"/>
            </c:ext>
          </c:extLst>
        </c:ser>
        <c:dLbls>
          <c:showLegendKey val="0"/>
          <c:showVal val="0"/>
          <c:showCatName val="0"/>
          <c:showSerName val="0"/>
          <c:showPercent val="0"/>
          <c:showBubbleSize val="0"/>
        </c:dLbls>
        <c:axId val="79518720"/>
        <c:axId val="79529088"/>
      </c:scatterChart>
      <c:valAx>
        <c:axId val="79518720"/>
        <c:scaling>
          <c:orientation val="minMax"/>
          <c:max val="0.25"/>
          <c:min val="0.15000000000000008"/>
        </c:scaling>
        <c:delete val="0"/>
        <c:axPos val="b"/>
        <c:title>
          <c:tx>
            <c:rich>
              <a:bodyPr/>
              <a:lstStyle/>
              <a:p>
                <a:pPr>
                  <a:defRPr sz="900"/>
                </a:pPr>
                <a:r>
                  <a:rPr lang="en-US" sz="900"/>
                  <a:t>Concentration of KI (M)</a:t>
                </a:r>
              </a:p>
            </c:rich>
          </c:tx>
          <c:layout>
            <c:manualLayout>
              <c:xMode val="edge"/>
              <c:yMode val="edge"/>
              <c:x val="0.3262628773978663"/>
              <c:y val="0.87400741328974574"/>
            </c:manualLayout>
          </c:layout>
          <c:overlay val="0"/>
        </c:title>
        <c:numFmt formatCode="0.00" sourceLinked="0"/>
        <c:majorTickMark val="out"/>
        <c:minorTickMark val="none"/>
        <c:tickLblPos val="nextTo"/>
        <c:txPr>
          <a:bodyPr/>
          <a:lstStyle/>
          <a:p>
            <a:pPr>
              <a:defRPr sz="900"/>
            </a:pPr>
            <a:endParaRPr lang="en-US"/>
          </a:p>
        </c:txPr>
        <c:crossAx val="79529088"/>
        <c:crosses val="autoZero"/>
        <c:crossBetween val="midCat"/>
        <c:majorUnit val="5.000000000000001E-2"/>
      </c:valAx>
      <c:valAx>
        <c:axId val="79529088"/>
        <c:scaling>
          <c:orientation val="minMax"/>
          <c:min val="0"/>
        </c:scaling>
        <c:delete val="0"/>
        <c:axPos val="l"/>
        <c:title>
          <c:tx>
            <c:rich>
              <a:bodyPr rot="-5400000" vert="horz"/>
              <a:lstStyle/>
              <a:p>
                <a:pPr>
                  <a:defRPr sz="900"/>
                </a:pPr>
                <a:r>
                  <a:rPr lang="en-US" sz="900"/>
                  <a:t>Absorbance</a:t>
                </a:r>
              </a:p>
            </c:rich>
          </c:tx>
          <c:layout>
            <c:manualLayout>
              <c:xMode val="edge"/>
              <c:yMode val="edge"/>
              <c:x val="4.1885207989855032E-2"/>
              <c:y val="0.25864370599661518"/>
            </c:manualLayout>
          </c:layout>
          <c:overlay val="0"/>
        </c:title>
        <c:numFmt formatCode="0.00" sourceLinked="0"/>
        <c:majorTickMark val="out"/>
        <c:minorTickMark val="none"/>
        <c:tickLblPos val="nextTo"/>
        <c:txPr>
          <a:bodyPr/>
          <a:lstStyle/>
          <a:p>
            <a:pPr>
              <a:defRPr sz="900"/>
            </a:pPr>
            <a:endParaRPr lang="en-US"/>
          </a:p>
        </c:txPr>
        <c:crossAx val="79518720"/>
        <c:crosses val="autoZero"/>
        <c:crossBetween val="midCat"/>
      </c:valAx>
      <c:spPr>
        <a:ln>
          <a:solidFill>
            <a:sysClr val="windowText" lastClr="000000"/>
          </a:solidFill>
        </a:ln>
      </c:spPr>
    </c:plotArea>
    <c:plotVisOnly val="1"/>
    <c:dispBlanksAs val="gap"/>
    <c:showDLblsOverMax val="0"/>
  </c:chart>
  <c:spPr>
    <a:ln w="6350">
      <a:solidFill>
        <a:schemeClr val="tx1"/>
      </a:solidFill>
    </a:ln>
  </c:spPr>
  <c:txPr>
    <a:bodyPr/>
    <a:lstStyle/>
    <a:p>
      <a:pPr>
        <a:defRPr sz="1000">
          <a:latin typeface="Times New Roman" pitchFamily="18" charset="0"/>
          <a:cs typeface="Times New Roman"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56878834222697"/>
          <c:y val="4.2454180791723507E-2"/>
          <c:w val="0.80931664559884342"/>
          <c:h val="0.73534460636674293"/>
        </c:manualLayout>
      </c:layout>
      <c:scatterChart>
        <c:scatterStyle val="lineMarker"/>
        <c:varyColors val="0"/>
        <c:ser>
          <c:idx val="0"/>
          <c:order val="0"/>
          <c:tx>
            <c:v>Acrylamide solution (5 ppm)</c:v>
          </c:tx>
          <c:spPr>
            <a:ln w="19050">
              <a:solidFill>
                <a:sysClr val="windowText" lastClr="000000"/>
              </a:solidFill>
              <a:prstDash val="sysDash"/>
            </a:ln>
          </c:spPr>
          <c:marker>
            <c:symbol val="circle"/>
            <c:size val="5"/>
            <c:spPr>
              <a:solidFill>
                <a:schemeClr val="bg1"/>
              </a:solidFill>
              <a:ln w="19050">
                <a:solidFill>
                  <a:sysClr val="windowText" lastClr="000000"/>
                </a:solidFill>
                <a:prstDash val="sysDash"/>
              </a:ln>
            </c:spPr>
          </c:marker>
          <c:errBars>
            <c:errDir val="y"/>
            <c:errBarType val="both"/>
            <c:errValType val="cust"/>
            <c:noEndCap val="0"/>
            <c:plus>
              <c:numRef>
                <c:f>Thesis!$F$87:$F$92</c:f>
                <c:numCache>
                  <c:formatCode>General</c:formatCode>
                  <c:ptCount val="6"/>
                  <c:pt idx="0">
                    <c:v>2.7761770376210681E-3</c:v>
                  </c:pt>
                  <c:pt idx="1">
                    <c:v>1.2810119306287863E-2</c:v>
                  </c:pt>
                  <c:pt idx="2">
                    <c:v>1.5664249254697431E-2</c:v>
                  </c:pt>
                  <c:pt idx="3">
                    <c:v>1.5294491648529342E-2</c:v>
                  </c:pt>
                  <c:pt idx="4">
                    <c:v>8.0191283104074848E-3</c:v>
                  </c:pt>
                  <c:pt idx="5">
                    <c:v>2.000184825841187E-3</c:v>
                  </c:pt>
                </c:numCache>
              </c:numRef>
            </c:plus>
            <c:minus>
              <c:numRef>
                <c:f>Thesis!$F$87:$F$92</c:f>
                <c:numCache>
                  <c:formatCode>General</c:formatCode>
                  <c:ptCount val="6"/>
                  <c:pt idx="0">
                    <c:v>2.7761770376210681E-3</c:v>
                  </c:pt>
                  <c:pt idx="1">
                    <c:v>1.2810119306287863E-2</c:v>
                  </c:pt>
                  <c:pt idx="2">
                    <c:v>1.5664249254697431E-2</c:v>
                  </c:pt>
                  <c:pt idx="3">
                    <c:v>1.5294491648529342E-2</c:v>
                  </c:pt>
                  <c:pt idx="4">
                    <c:v>8.0191283104074848E-3</c:v>
                  </c:pt>
                  <c:pt idx="5">
                    <c:v>2.000184825841187E-3</c:v>
                  </c:pt>
                </c:numCache>
              </c:numRef>
            </c:minus>
          </c:errBars>
          <c:xVal>
            <c:numRef>
              <c:f>Thesis!$A$87:$A$92</c:f>
              <c:numCache>
                <c:formatCode>0.00</c:formatCode>
                <c:ptCount val="6"/>
                <c:pt idx="0">
                  <c:v>0</c:v>
                </c:pt>
                <c:pt idx="1">
                  <c:v>1.1000000000000001</c:v>
                </c:pt>
                <c:pt idx="2">
                  <c:v>1.8</c:v>
                </c:pt>
                <c:pt idx="3">
                  <c:v>2.9</c:v>
                </c:pt>
                <c:pt idx="4">
                  <c:v>4</c:v>
                </c:pt>
                <c:pt idx="5">
                  <c:v>5.0999999999999996</c:v>
                </c:pt>
              </c:numCache>
            </c:numRef>
          </c:xVal>
          <c:yVal>
            <c:numRef>
              <c:f>Thesis!$E$87:$E$92</c:f>
              <c:numCache>
                <c:formatCode>0.0000</c:formatCode>
                <c:ptCount val="6"/>
                <c:pt idx="0">
                  <c:v>1.3295141155666671E-3</c:v>
                </c:pt>
                <c:pt idx="1">
                  <c:v>0.18726702036666673</c:v>
                </c:pt>
                <c:pt idx="2">
                  <c:v>0.32140725850000001</c:v>
                </c:pt>
                <c:pt idx="3">
                  <c:v>0.36692160370000021</c:v>
                </c:pt>
                <c:pt idx="4">
                  <c:v>0.36596032976666687</c:v>
                </c:pt>
                <c:pt idx="5">
                  <c:v>0.36963931716666681</c:v>
                </c:pt>
              </c:numCache>
            </c:numRef>
          </c:yVal>
          <c:smooth val="0"/>
          <c:extLst xmlns:c16r2="http://schemas.microsoft.com/office/drawing/2015/06/chart">
            <c:ext xmlns:c16="http://schemas.microsoft.com/office/drawing/2014/chart" uri="{C3380CC4-5D6E-409C-BE32-E72D297353CC}">
              <c16:uniqueId val="{00000000-E921-44C2-96EF-52B388F44C43}"/>
            </c:ext>
          </c:extLst>
        </c:ser>
        <c:ser>
          <c:idx val="1"/>
          <c:order val="1"/>
          <c:tx>
            <c:v>Control</c:v>
          </c:tx>
          <c:spPr>
            <a:ln w="19050">
              <a:solidFill>
                <a:schemeClr val="tx1"/>
              </a:solidFill>
            </a:ln>
          </c:spPr>
          <c:marker>
            <c:symbol val="square"/>
            <c:size val="5"/>
            <c:spPr>
              <a:solidFill>
                <a:schemeClr val="bg1"/>
              </a:solidFill>
              <a:ln w="19050">
                <a:solidFill>
                  <a:schemeClr val="tx1"/>
                </a:solidFill>
              </a:ln>
            </c:spPr>
          </c:marker>
          <c:errBars>
            <c:errDir val="y"/>
            <c:errBarType val="both"/>
            <c:errValType val="cust"/>
            <c:noEndCap val="0"/>
            <c:plus>
              <c:numRef>
                <c:f>Thesis!$F$97:$F$102</c:f>
                <c:numCache>
                  <c:formatCode>General</c:formatCode>
                  <c:ptCount val="6"/>
                  <c:pt idx="0">
                    <c:v>5.8727816715345516E-3</c:v>
                  </c:pt>
                  <c:pt idx="1">
                    <c:v>4.4519278398988671E-3</c:v>
                  </c:pt>
                  <c:pt idx="2">
                    <c:v>2.1247490642551385E-3</c:v>
                  </c:pt>
                  <c:pt idx="3">
                    <c:v>9.0599417720046548E-3</c:v>
                  </c:pt>
                  <c:pt idx="4">
                    <c:v>5.3400966173170602E-3</c:v>
                  </c:pt>
                  <c:pt idx="5">
                    <c:v>5.5903212091216146E-3</c:v>
                  </c:pt>
                </c:numCache>
              </c:numRef>
            </c:plus>
            <c:minus>
              <c:numRef>
                <c:f>Thesis!$F$97:$F$102</c:f>
                <c:numCache>
                  <c:formatCode>General</c:formatCode>
                  <c:ptCount val="6"/>
                  <c:pt idx="0">
                    <c:v>5.8727816715345516E-3</c:v>
                  </c:pt>
                  <c:pt idx="1">
                    <c:v>4.4519278398988671E-3</c:v>
                  </c:pt>
                  <c:pt idx="2">
                    <c:v>2.1247490642551385E-3</c:v>
                  </c:pt>
                  <c:pt idx="3">
                    <c:v>9.0599417720046548E-3</c:v>
                  </c:pt>
                  <c:pt idx="4">
                    <c:v>5.3400966173170602E-3</c:v>
                  </c:pt>
                  <c:pt idx="5">
                    <c:v>5.5903212091216146E-3</c:v>
                  </c:pt>
                </c:numCache>
              </c:numRef>
            </c:minus>
          </c:errBars>
          <c:xVal>
            <c:numRef>
              <c:f>Thesis!$A$97:$A$102</c:f>
              <c:numCache>
                <c:formatCode>0.00</c:formatCode>
                <c:ptCount val="6"/>
                <c:pt idx="0">
                  <c:v>0</c:v>
                </c:pt>
                <c:pt idx="1">
                  <c:v>1.1000000000000001</c:v>
                </c:pt>
                <c:pt idx="2">
                  <c:v>1.8</c:v>
                </c:pt>
                <c:pt idx="3">
                  <c:v>2.9</c:v>
                </c:pt>
                <c:pt idx="4">
                  <c:v>4</c:v>
                </c:pt>
                <c:pt idx="5">
                  <c:v>5.0999999999999996</c:v>
                </c:pt>
              </c:numCache>
            </c:numRef>
          </c:xVal>
          <c:yVal>
            <c:numRef>
              <c:f>Thesis!$E$97:$E$102</c:f>
              <c:numCache>
                <c:formatCode>0.0000</c:formatCode>
                <c:ptCount val="6"/>
                <c:pt idx="0">
                  <c:v>2.5839821900000008E-3</c:v>
                </c:pt>
                <c:pt idx="1">
                  <c:v>2.6969813430000014E-3</c:v>
                </c:pt>
                <c:pt idx="2">
                  <c:v>2.1907265180666686E-3</c:v>
                </c:pt>
                <c:pt idx="3">
                  <c:v>1.2944277685666672E-2</c:v>
                </c:pt>
                <c:pt idx="4">
                  <c:v>5.5828671704333359E-3</c:v>
                </c:pt>
                <c:pt idx="5">
                  <c:v>1.1754418101666667E-2</c:v>
                </c:pt>
              </c:numCache>
            </c:numRef>
          </c:yVal>
          <c:smooth val="0"/>
          <c:extLst xmlns:c16r2="http://schemas.microsoft.com/office/drawing/2015/06/chart">
            <c:ext xmlns:c16="http://schemas.microsoft.com/office/drawing/2014/chart" uri="{C3380CC4-5D6E-409C-BE32-E72D297353CC}">
              <c16:uniqueId val="{00000001-E921-44C2-96EF-52B388F44C43}"/>
            </c:ext>
          </c:extLst>
        </c:ser>
        <c:dLbls>
          <c:showLegendKey val="0"/>
          <c:showVal val="0"/>
          <c:showCatName val="0"/>
          <c:showSerName val="0"/>
          <c:showPercent val="0"/>
          <c:showBubbleSize val="0"/>
        </c:dLbls>
        <c:axId val="79699328"/>
        <c:axId val="79701504"/>
      </c:scatterChart>
      <c:valAx>
        <c:axId val="79699328"/>
        <c:scaling>
          <c:orientation val="minMax"/>
          <c:max val="5.5"/>
          <c:min val="0"/>
        </c:scaling>
        <c:delete val="0"/>
        <c:axPos val="b"/>
        <c:title>
          <c:tx>
            <c:rich>
              <a:bodyPr/>
              <a:lstStyle/>
              <a:p>
                <a:pPr>
                  <a:defRPr sz="900"/>
                </a:pPr>
                <a:r>
                  <a:rPr lang="en-US" sz="900"/>
                  <a:t>Concentration of  Nessler reagent (mM)</a:t>
                </a:r>
              </a:p>
            </c:rich>
          </c:tx>
          <c:layout>
            <c:manualLayout>
              <c:xMode val="edge"/>
              <c:yMode val="edge"/>
              <c:x val="0.22968964915325754"/>
              <c:y val="0.90672241878417492"/>
            </c:manualLayout>
          </c:layout>
          <c:overlay val="0"/>
        </c:title>
        <c:numFmt formatCode="0.00" sourceLinked="1"/>
        <c:majorTickMark val="out"/>
        <c:minorTickMark val="none"/>
        <c:tickLblPos val="nextTo"/>
        <c:txPr>
          <a:bodyPr/>
          <a:lstStyle/>
          <a:p>
            <a:pPr>
              <a:defRPr sz="900"/>
            </a:pPr>
            <a:endParaRPr lang="en-US"/>
          </a:p>
        </c:txPr>
        <c:crossAx val="79701504"/>
        <c:crosses val="autoZero"/>
        <c:crossBetween val="midCat"/>
        <c:majorUnit val="1"/>
      </c:valAx>
      <c:valAx>
        <c:axId val="79701504"/>
        <c:scaling>
          <c:orientation val="minMax"/>
          <c:min val="0"/>
        </c:scaling>
        <c:delete val="0"/>
        <c:axPos val="l"/>
        <c:title>
          <c:tx>
            <c:rich>
              <a:bodyPr rot="-5400000" vert="horz"/>
              <a:lstStyle/>
              <a:p>
                <a:pPr>
                  <a:defRPr sz="900"/>
                </a:pPr>
                <a:r>
                  <a:rPr lang="en-US" sz="900"/>
                  <a:t>Absorbance</a:t>
                </a:r>
              </a:p>
            </c:rich>
          </c:tx>
          <c:layout>
            <c:manualLayout>
              <c:xMode val="edge"/>
              <c:yMode val="edge"/>
              <c:x val="1.590751470204457E-3"/>
              <c:y val="0.17980615079917842"/>
            </c:manualLayout>
          </c:layout>
          <c:overlay val="0"/>
        </c:title>
        <c:numFmt formatCode="0.00" sourceLinked="0"/>
        <c:majorTickMark val="out"/>
        <c:minorTickMark val="none"/>
        <c:tickLblPos val="nextTo"/>
        <c:txPr>
          <a:bodyPr/>
          <a:lstStyle/>
          <a:p>
            <a:pPr>
              <a:defRPr sz="900"/>
            </a:pPr>
            <a:endParaRPr lang="en-US"/>
          </a:p>
        </c:txPr>
        <c:crossAx val="79699328"/>
        <c:crosses val="autoZero"/>
        <c:crossBetween val="midCat"/>
      </c:valAx>
      <c:spPr>
        <a:ln>
          <a:solidFill>
            <a:sysClr val="windowText" lastClr="000000"/>
          </a:solidFill>
        </a:ln>
      </c:spPr>
    </c:plotArea>
    <c:legend>
      <c:legendPos val="r"/>
      <c:layout>
        <c:manualLayout>
          <c:xMode val="edge"/>
          <c:yMode val="edge"/>
          <c:x val="0.55602243281635166"/>
          <c:y val="0.31079998885633026"/>
          <c:w val="0.3621375892859397"/>
          <c:h val="0.34200860403462885"/>
        </c:manualLayout>
      </c:layout>
      <c:overlay val="1"/>
      <c:spPr>
        <a:ln>
          <a:noFill/>
        </a:ln>
      </c:spPr>
      <c:txPr>
        <a:bodyPr/>
        <a:lstStyle/>
        <a:p>
          <a:pPr>
            <a:defRPr sz="900"/>
          </a:pPr>
          <a:endParaRPr lang="en-US"/>
        </a:p>
      </c:txPr>
    </c:legend>
    <c:plotVisOnly val="1"/>
    <c:dispBlanksAs val="gap"/>
    <c:showDLblsOverMax val="0"/>
  </c:chart>
  <c:spPr>
    <a:ln w="6350">
      <a:solidFill>
        <a:schemeClr val="tx1"/>
      </a:solidFill>
    </a:ln>
  </c:spPr>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5718917391425"/>
          <c:y val="4.3362834777617633E-2"/>
          <c:w val="0.73801295896328289"/>
          <c:h val="0.7622789893198838"/>
        </c:manualLayout>
      </c:layout>
      <c:barChart>
        <c:barDir val="col"/>
        <c:grouping val="clustered"/>
        <c:varyColors val="0"/>
        <c:ser>
          <c:idx val="0"/>
          <c:order val="0"/>
          <c:tx>
            <c:strRef>
              <c:f>Thesis!$B$164</c:f>
              <c:strCache>
                <c:ptCount val="1"/>
                <c:pt idx="0">
                  <c:v>2 ppm</c:v>
                </c:pt>
              </c:strCache>
            </c:strRef>
          </c:tx>
          <c:spPr>
            <a:solidFill>
              <a:schemeClr val="bg1">
                <a:lumMod val="85000"/>
              </a:schemeClr>
            </a:solidFill>
            <a:ln w="19050">
              <a:solidFill>
                <a:sysClr val="windowText" lastClr="000000"/>
              </a:solidFill>
              <a:prstDash val="solid"/>
            </a:ln>
          </c:spPr>
          <c:invertIfNegative val="0"/>
          <c:cat>
            <c:numRef>
              <c:f>Thesis!$A$165:$A$172</c:f>
              <c:numCache>
                <c:formatCode>General</c:formatCode>
                <c:ptCount val="8"/>
                <c:pt idx="0">
                  <c:v>1</c:v>
                </c:pt>
                <c:pt idx="1">
                  <c:v>2</c:v>
                </c:pt>
                <c:pt idx="2">
                  <c:v>3</c:v>
                </c:pt>
                <c:pt idx="3">
                  <c:v>4</c:v>
                </c:pt>
                <c:pt idx="4">
                  <c:v>5</c:v>
                </c:pt>
                <c:pt idx="5">
                  <c:v>6</c:v>
                </c:pt>
                <c:pt idx="6">
                  <c:v>7</c:v>
                </c:pt>
                <c:pt idx="7">
                  <c:v>8</c:v>
                </c:pt>
              </c:numCache>
            </c:numRef>
          </c:cat>
          <c:val>
            <c:numRef>
              <c:f>Thesis!$B$165:$B$172</c:f>
              <c:numCache>
                <c:formatCode>0.0000</c:formatCode>
                <c:ptCount val="8"/>
                <c:pt idx="0">
                  <c:v>0.1131686643</c:v>
                </c:pt>
                <c:pt idx="1">
                  <c:v>0.11882967500000002</c:v>
                </c:pt>
                <c:pt idx="2">
                  <c:v>0.1128761098</c:v>
                </c:pt>
                <c:pt idx="3">
                  <c:v>0.11163194479999999</c:v>
                </c:pt>
                <c:pt idx="4">
                  <c:v>0.12128907440000003</c:v>
                </c:pt>
                <c:pt idx="5">
                  <c:v>0.1172107086</c:v>
                </c:pt>
                <c:pt idx="6">
                  <c:v>0.11940377210000003</c:v>
                </c:pt>
                <c:pt idx="7">
                  <c:v>0.11203199630000001</c:v>
                </c:pt>
              </c:numCache>
            </c:numRef>
          </c:val>
          <c:extLst xmlns:c16r2="http://schemas.microsoft.com/office/drawing/2015/06/chart">
            <c:ext xmlns:c16="http://schemas.microsoft.com/office/drawing/2014/chart" uri="{C3380CC4-5D6E-409C-BE32-E72D297353CC}">
              <c16:uniqueId val="{00000000-78E1-4893-A9CB-4A844687B901}"/>
            </c:ext>
          </c:extLst>
        </c:ser>
        <c:ser>
          <c:idx val="1"/>
          <c:order val="1"/>
          <c:tx>
            <c:strRef>
              <c:f>Thesis!$C$164</c:f>
              <c:strCache>
                <c:ptCount val="1"/>
                <c:pt idx="0">
                  <c:v>4 ppm</c:v>
                </c:pt>
              </c:strCache>
            </c:strRef>
          </c:tx>
          <c:spPr>
            <a:solidFill>
              <a:schemeClr val="bg1">
                <a:lumMod val="50000"/>
              </a:schemeClr>
            </a:solidFill>
            <a:ln w="19050">
              <a:solidFill>
                <a:schemeClr val="tx1"/>
              </a:solidFill>
            </a:ln>
          </c:spPr>
          <c:invertIfNegative val="0"/>
          <c:cat>
            <c:numRef>
              <c:f>Thesis!$A$165:$A$172</c:f>
              <c:numCache>
                <c:formatCode>General</c:formatCode>
                <c:ptCount val="8"/>
                <c:pt idx="0">
                  <c:v>1</c:v>
                </c:pt>
                <c:pt idx="1">
                  <c:v>2</c:v>
                </c:pt>
                <c:pt idx="2">
                  <c:v>3</c:v>
                </c:pt>
                <c:pt idx="3">
                  <c:v>4</c:v>
                </c:pt>
                <c:pt idx="4">
                  <c:v>5</c:v>
                </c:pt>
                <c:pt idx="5">
                  <c:v>6</c:v>
                </c:pt>
                <c:pt idx="6">
                  <c:v>7</c:v>
                </c:pt>
                <c:pt idx="7">
                  <c:v>8</c:v>
                </c:pt>
              </c:numCache>
            </c:numRef>
          </c:cat>
          <c:val>
            <c:numRef>
              <c:f>Thesis!$C$165:$C$172</c:f>
              <c:numCache>
                <c:formatCode>0.0000</c:formatCode>
                <c:ptCount val="8"/>
                <c:pt idx="0">
                  <c:v>0.2206267864</c:v>
                </c:pt>
                <c:pt idx="1">
                  <c:v>0.22870409490000004</c:v>
                </c:pt>
                <c:pt idx="2">
                  <c:v>0.21724592150000008</c:v>
                </c:pt>
                <c:pt idx="3">
                  <c:v>0.21245859560000005</c:v>
                </c:pt>
                <c:pt idx="4">
                  <c:v>0.21628248690000007</c:v>
                </c:pt>
                <c:pt idx="5">
                  <c:v>0.22575919329999999</c:v>
                </c:pt>
                <c:pt idx="6">
                  <c:v>0.21806412940000006</c:v>
                </c:pt>
                <c:pt idx="7">
                  <c:v>0.22965861859999998</c:v>
                </c:pt>
              </c:numCache>
            </c:numRef>
          </c:val>
          <c:extLst xmlns:c16r2="http://schemas.microsoft.com/office/drawing/2015/06/chart">
            <c:ext xmlns:c16="http://schemas.microsoft.com/office/drawing/2014/chart" uri="{C3380CC4-5D6E-409C-BE32-E72D297353CC}">
              <c16:uniqueId val="{00000001-78E1-4893-A9CB-4A844687B901}"/>
            </c:ext>
          </c:extLst>
        </c:ser>
        <c:dLbls>
          <c:showLegendKey val="0"/>
          <c:showVal val="0"/>
          <c:showCatName val="0"/>
          <c:showSerName val="0"/>
          <c:showPercent val="0"/>
          <c:showBubbleSize val="0"/>
        </c:dLbls>
        <c:gapWidth val="150"/>
        <c:axId val="79719808"/>
        <c:axId val="79730176"/>
      </c:barChart>
      <c:catAx>
        <c:axId val="79719808"/>
        <c:scaling>
          <c:orientation val="minMax"/>
        </c:scaling>
        <c:delete val="0"/>
        <c:axPos val="b"/>
        <c:title>
          <c:tx>
            <c:rich>
              <a:bodyPr/>
              <a:lstStyle/>
              <a:p>
                <a:pPr algn="r">
                  <a:defRPr sz="900"/>
                </a:pPr>
                <a:r>
                  <a:rPr lang="en-US" sz="900"/>
                  <a:t>Number of measurement</a:t>
                </a:r>
              </a:p>
            </c:rich>
          </c:tx>
          <c:layout>
            <c:manualLayout>
              <c:xMode val="edge"/>
              <c:yMode val="edge"/>
              <c:x val="0.31219398455225339"/>
              <c:y val="0.90342990342990348"/>
            </c:manualLayout>
          </c:layout>
          <c:overlay val="0"/>
        </c:title>
        <c:numFmt formatCode="General" sourceLinked="1"/>
        <c:majorTickMark val="out"/>
        <c:minorTickMark val="none"/>
        <c:tickLblPos val="nextTo"/>
        <c:txPr>
          <a:bodyPr/>
          <a:lstStyle/>
          <a:p>
            <a:pPr>
              <a:defRPr sz="900"/>
            </a:pPr>
            <a:endParaRPr lang="en-US"/>
          </a:p>
        </c:txPr>
        <c:crossAx val="79730176"/>
        <c:crosses val="autoZero"/>
        <c:auto val="1"/>
        <c:lblAlgn val="ctr"/>
        <c:lblOffset val="100"/>
        <c:tickLblSkip val="1"/>
        <c:noMultiLvlLbl val="0"/>
      </c:catAx>
      <c:valAx>
        <c:axId val="79730176"/>
        <c:scaling>
          <c:orientation val="minMax"/>
          <c:min val="0"/>
        </c:scaling>
        <c:delete val="0"/>
        <c:axPos val="l"/>
        <c:title>
          <c:tx>
            <c:rich>
              <a:bodyPr rot="-5400000" vert="horz"/>
              <a:lstStyle/>
              <a:p>
                <a:pPr>
                  <a:defRPr sz="900"/>
                </a:pPr>
                <a:r>
                  <a:rPr lang="en-US" sz="900"/>
                  <a:t>Absorbance</a:t>
                </a:r>
              </a:p>
            </c:rich>
          </c:tx>
          <c:layout>
            <c:manualLayout>
              <c:xMode val="edge"/>
              <c:yMode val="edge"/>
              <c:x val="1.5907955024592334E-3"/>
              <c:y val="0.17616137143696195"/>
            </c:manualLayout>
          </c:layout>
          <c:overlay val="0"/>
        </c:title>
        <c:numFmt formatCode="0.00" sourceLinked="0"/>
        <c:majorTickMark val="out"/>
        <c:minorTickMark val="none"/>
        <c:tickLblPos val="nextTo"/>
        <c:txPr>
          <a:bodyPr/>
          <a:lstStyle/>
          <a:p>
            <a:pPr>
              <a:defRPr sz="900"/>
            </a:pPr>
            <a:endParaRPr lang="en-US"/>
          </a:p>
        </c:txPr>
        <c:crossAx val="79719808"/>
        <c:crosses val="autoZero"/>
        <c:crossBetween val="between"/>
      </c:valAx>
      <c:spPr>
        <a:ln>
          <a:solidFill>
            <a:sysClr val="windowText" lastClr="000000"/>
          </a:solidFill>
        </a:ln>
      </c:spPr>
    </c:plotArea>
    <c:legend>
      <c:legendPos val="r"/>
      <c:layout>
        <c:manualLayout>
          <c:xMode val="edge"/>
          <c:yMode val="edge"/>
          <c:x val="0.87050672459046052"/>
          <c:y val="0.37996105325543988"/>
          <c:w val="0.12192379400850759"/>
          <c:h val="0.13614185323608738"/>
        </c:manualLayout>
      </c:layout>
      <c:overlay val="1"/>
      <c:spPr>
        <a:ln>
          <a:noFill/>
        </a:ln>
      </c:spPr>
      <c:txPr>
        <a:bodyPr/>
        <a:lstStyle/>
        <a:p>
          <a:pPr>
            <a:defRPr sz="900"/>
          </a:pPr>
          <a:endParaRPr lang="en-US"/>
        </a:p>
      </c:txPr>
    </c:legend>
    <c:plotVisOnly val="1"/>
    <c:dispBlanksAs val="gap"/>
    <c:showDLblsOverMax val="0"/>
  </c:chart>
  <c:spPr>
    <a:ln w="6350">
      <a:solidFill>
        <a:schemeClr val="tx1"/>
      </a:solidFill>
    </a:ln>
  </c:spPr>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88840423724011"/>
          <c:y val="3.9611923509561317E-2"/>
          <c:w val="0.84051480605960971"/>
          <c:h val="0.78004226177218661"/>
        </c:manualLayout>
      </c:layout>
      <c:scatterChart>
        <c:scatterStyle val="lineMarker"/>
        <c:varyColors val="0"/>
        <c:ser>
          <c:idx val="0"/>
          <c:order val="0"/>
          <c:spPr>
            <a:ln w="28575">
              <a:noFill/>
            </a:ln>
          </c:spPr>
          <c:marker>
            <c:symbol val="circle"/>
            <c:size val="5"/>
            <c:spPr>
              <a:solidFill>
                <a:schemeClr val="bg1"/>
              </a:solidFill>
              <a:ln w="19050">
                <a:solidFill>
                  <a:schemeClr val="tx1"/>
                </a:solidFill>
                <a:prstDash val="solid"/>
              </a:ln>
            </c:spPr>
          </c:marker>
          <c:errBars>
            <c:errDir val="y"/>
            <c:errBarType val="both"/>
            <c:errValType val="cust"/>
            <c:noEndCap val="0"/>
            <c:plus>
              <c:numRef>
                <c:f>Thesis!$F$108:$F$132</c:f>
                <c:numCache>
                  <c:formatCode>General</c:formatCode>
                  <c:ptCount val="25"/>
                  <c:pt idx="0">
                    <c:v>3.0961931071010413E-3</c:v>
                  </c:pt>
                  <c:pt idx="1">
                    <c:v>7.1692028669912778E-4</c:v>
                  </c:pt>
                  <c:pt idx="2">
                    <c:v>5.9696023635588159E-3</c:v>
                  </c:pt>
                  <c:pt idx="3">
                    <c:v>7.8906798402184064E-3</c:v>
                  </c:pt>
                  <c:pt idx="4">
                    <c:v>5.1070509553197115E-3</c:v>
                  </c:pt>
                  <c:pt idx="5">
                    <c:v>1.985956206778587E-4</c:v>
                  </c:pt>
                  <c:pt idx="6">
                    <c:v>2.4447908381085852E-3</c:v>
                  </c:pt>
                  <c:pt idx="7">
                    <c:v>8.6720693407191035E-4</c:v>
                  </c:pt>
                  <c:pt idx="8">
                    <c:v>5.3455328110171554E-3</c:v>
                  </c:pt>
                  <c:pt idx="9">
                    <c:v>2.3543871026931267E-2</c:v>
                  </c:pt>
                  <c:pt idx="10">
                    <c:v>2.1460950635307171E-2</c:v>
                  </c:pt>
                  <c:pt idx="11">
                    <c:v>2.4851904849488727E-2</c:v>
                  </c:pt>
                  <c:pt idx="12">
                    <c:v>2.7396789597439975E-3</c:v>
                  </c:pt>
                  <c:pt idx="13">
                    <c:v>1.3750073571951932E-2</c:v>
                  </c:pt>
                  <c:pt idx="14">
                    <c:v>9.1233882147228173E-3</c:v>
                  </c:pt>
                  <c:pt idx="15">
                    <c:v>4.6413081996716447E-2</c:v>
                  </c:pt>
                  <c:pt idx="16">
                    <c:v>2.8495195438508251E-2</c:v>
                  </c:pt>
                  <c:pt idx="17">
                    <c:v>2.76343261384378E-2</c:v>
                  </c:pt>
                  <c:pt idx="18">
                    <c:v>2.6479928530839129E-2</c:v>
                  </c:pt>
                  <c:pt idx="19">
                    <c:v>1.6716029483481905E-3</c:v>
                  </c:pt>
                  <c:pt idx="20">
                    <c:v>1.8855693576861517E-2</c:v>
                  </c:pt>
                  <c:pt idx="21">
                    <c:v>2.2288134914697243E-2</c:v>
                  </c:pt>
                  <c:pt idx="22">
                    <c:v>4.1218626114273961E-3</c:v>
                  </c:pt>
                  <c:pt idx="23">
                    <c:v>2.0779757650921361E-2</c:v>
                  </c:pt>
                  <c:pt idx="24">
                    <c:v>7.7075119767107625E-2</c:v>
                  </c:pt>
                </c:numCache>
              </c:numRef>
            </c:plus>
            <c:minus>
              <c:numRef>
                <c:f>Thesis!$F$108:$F$132</c:f>
                <c:numCache>
                  <c:formatCode>General</c:formatCode>
                  <c:ptCount val="25"/>
                  <c:pt idx="0">
                    <c:v>3.0961931071010413E-3</c:v>
                  </c:pt>
                  <c:pt idx="1">
                    <c:v>7.1692028669912778E-4</c:v>
                  </c:pt>
                  <c:pt idx="2">
                    <c:v>5.9696023635588159E-3</c:v>
                  </c:pt>
                  <c:pt idx="3">
                    <c:v>7.8906798402184064E-3</c:v>
                  </c:pt>
                  <c:pt idx="4">
                    <c:v>5.1070509553197115E-3</c:v>
                  </c:pt>
                  <c:pt idx="5">
                    <c:v>1.985956206778587E-4</c:v>
                  </c:pt>
                  <c:pt idx="6">
                    <c:v>2.4447908381085852E-3</c:v>
                  </c:pt>
                  <c:pt idx="7">
                    <c:v>8.6720693407191035E-4</c:v>
                  </c:pt>
                  <c:pt idx="8">
                    <c:v>5.3455328110171554E-3</c:v>
                  </c:pt>
                  <c:pt idx="9">
                    <c:v>2.3543871026931267E-2</c:v>
                  </c:pt>
                  <c:pt idx="10">
                    <c:v>2.1460950635307171E-2</c:v>
                  </c:pt>
                  <c:pt idx="11">
                    <c:v>2.4851904849488727E-2</c:v>
                  </c:pt>
                  <c:pt idx="12">
                    <c:v>2.7396789597439975E-3</c:v>
                  </c:pt>
                  <c:pt idx="13">
                    <c:v>1.3750073571951932E-2</c:v>
                  </c:pt>
                  <c:pt idx="14">
                    <c:v>9.1233882147228173E-3</c:v>
                  </c:pt>
                  <c:pt idx="15">
                    <c:v>4.6413081996716447E-2</c:v>
                  </c:pt>
                  <c:pt idx="16">
                    <c:v>2.8495195438508251E-2</c:v>
                  </c:pt>
                  <c:pt idx="17">
                    <c:v>2.76343261384378E-2</c:v>
                  </c:pt>
                  <c:pt idx="18">
                    <c:v>2.6479928530839129E-2</c:v>
                  </c:pt>
                  <c:pt idx="19">
                    <c:v>1.6716029483481905E-3</c:v>
                  </c:pt>
                  <c:pt idx="20">
                    <c:v>1.8855693576861517E-2</c:v>
                  </c:pt>
                  <c:pt idx="21">
                    <c:v>2.2288134914697243E-2</c:v>
                  </c:pt>
                  <c:pt idx="22">
                    <c:v>4.1218626114273961E-3</c:v>
                  </c:pt>
                  <c:pt idx="23">
                    <c:v>2.0779757650921361E-2</c:v>
                  </c:pt>
                  <c:pt idx="24">
                    <c:v>7.7075119767107625E-2</c:v>
                  </c:pt>
                </c:numCache>
              </c:numRef>
            </c:minus>
          </c:errBars>
          <c:xVal>
            <c:numRef>
              <c:f>Thesis!$A$108:$A$132</c:f>
              <c:numCache>
                <c:formatCode>0.0</c:formatCode>
                <c:ptCount val="25"/>
                <c:pt idx="0" formatCode="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pt idx="21">
                  <c:v>15</c:v>
                </c:pt>
                <c:pt idx="22">
                  <c:v>20</c:v>
                </c:pt>
                <c:pt idx="23">
                  <c:v>25</c:v>
                </c:pt>
                <c:pt idx="24">
                  <c:v>30</c:v>
                </c:pt>
              </c:numCache>
            </c:numRef>
          </c:xVal>
          <c:yVal>
            <c:numRef>
              <c:f>Thesis!$E$108:$E$132</c:f>
              <c:numCache>
                <c:formatCode>0.0000</c:formatCode>
                <c:ptCount val="25"/>
                <c:pt idx="0">
                  <c:v>9.2648955353333371E-3</c:v>
                </c:pt>
                <c:pt idx="1">
                  <c:v>3.8748445610000008E-2</c:v>
                </c:pt>
                <c:pt idx="2">
                  <c:v>7.8990099329999994E-2</c:v>
                </c:pt>
                <c:pt idx="3">
                  <c:v>0.1078728462466667</c:v>
                </c:pt>
                <c:pt idx="4">
                  <c:v>0.15882333616666677</c:v>
                </c:pt>
                <c:pt idx="5">
                  <c:v>0.18434093393333337</c:v>
                </c:pt>
                <c:pt idx="6">
                  <c:v>0.23495763540000006</c:v>
                </c:pt>
                <c:pt idx="7">
                  <c:v>0.24457887810000001</c:v>
                </c:pt>
                <c:pt idx="8">
                  <c:v>0.30460766953333335</c:v>
                </c:pt>
                <c:pt idx="9">
                  <c:v>0.34115379056666667</c:v>
                </c:pt>
                <c:pt idx="10">
                  <c:v>0.38026280203333335</c:v>
                </c:pt>
                <c:pt idx="11">
                  <c:v>0.41457149386666686</c:v>
                </c:pt>
                <c:pt idx="12">
                  <c:v>0.44915709893333322</c:v>
                </c:pt>
                <c:pt idx="13">
                  <c:v>0.49319764973333324</c:v>
                </c:pt>
                <c:pt idx="14">
                  <c:v>0.50550811489999981</c:v>
                </c:pt>
                <c:pt idx="15">
                  <c:v>0.5483571489666661</c:v>
                </c:pt>
                <c:pt idx="16">
                  <c:v>0.60285176836666654</c:v>
                </c:pt>
                <c:pt idx="17">
                  <c:v>0.63472161693333384</c:v>
                </c:pt>
                <c:pt idx="18">
                  <c:v>0.64742966493333343</c:v>
                </c:pt>
                <c:pt idx="19">
                  <c:v>0.66489154100000014</c:v>
                </c:pt>
                <c:pt idx="20">
                  <c:v>0.68706156809999996</c:v>
                </c:pt>
                <c:pt idx="21">
                  <c:v>1.1345427036666671</c:v>
                </c:pt>
                <c:pt idx="22">
                  <c:v>1.3968151410000005</c:v>
                </c:pt>
                <c:pt idx="23">
                  <c:v>1.7059576909999996</c:v>
                </c:pt>
                <c:pt idx="24">
                  <c:v>1.9506889580000004</c:v>
                </c:pt>
              </c:numCache>
            </c:numRef>
          </c:yVal>
          <c:smooth val="0"/>
          <c:extLst xmlns:c16r2="http://schemas.microsoft.com/office/drawing/2015/06/chart">
            <c:ext xmlns:c16="http://schemas.microsoft.com/office/drawing/2014/chart" uri="{C3380CC4-5D6E-409C-BE32-E72D297353CC}">
              <c16:uniqueId val="{00000000-7DA6-43D1-97B1-37E7D4813A9B}"/>
            </c:ext>
          </c:extLst>
        </c:ser>
        <c:dLbls>
          <c:showLegendKey val="0"/>
          <c:showVal val="0"/>
          <c:showCatName val="0"/>
          <c:showSerName val="0"/>
          <c:showPercent val="0"/>
          <c:showBubbleSize val="0"/>
        </c:dLbls>
        <c:axId val="79777792"/>
        <c:axId val="79779712"/>
      </c:scatterChart>
      <c:valAx>
        <c:axId val="79777792"/>
        <c:scaling>
          <c:orientation val="minMax"/>
          <c:max val="32.5"/>
          <c:min val="0"/>
        </c:scaling>
        <c:delete val="0"/>
        <c:axPos val="b"/>
        <c:title>
          <c:tx>
            <c:rich>
              <a:bodyPr/>
              <a:lstStyle/>
              <a:p>
                <a:pPr>
                  <a:defRPr sz="900"/>
                </a:pPr>
                <a:r>
                  <a:rPr lang="en-US" sz="900"/>
                  <a:t>Concentration of acrylamide (ppm)</a:t>
                </a:r>
              </a:p>
            </c:rich>
          </c:tx>
          <c:layout>
            <c:manualLayout>
              <c:xMode val="edge"/>
              <c:yMode val="edge"/>
              <c:x val="0.26853004920963114"/>
              <c:y val="0.91819142528730557"/>
            </c:manualLayout>
          </c:layout>
          <c:overlay val="0"/>
        </c:title>
        <c:numFmt formatCode="0.0" sourceLinked="0"/>
        <c:majorTickMark val="out"/>
        <c:minorTickMark val="none"/>
        <c:tickLblPos val="nextTo"/>
        <c:txPr>
          <a:bodyPr/>
          <a:lstStyle/>
          <a:p>
            <a:pPr>
              <a:defRPr sz="900"/>
            </a:pPr>
            <a:endParaRPr lang="en-US"/>
          </a:p>
        </c:txPr>
        <c:crossAx val="79779712"/>
        <c:crosses val="autoZero"/>
        <c:crossBetween val="midCat"/>
        <c:majorUnit val="5"/>
      </c:valAx>
      <c:valAx>
        <c:axId val="79779712"/>
        <c:scaling>
          <c:orientation val="minMax"/>
          <c:max val="2.2000000000000002"/>
          <c:min val="0"/>
        </c:scaling>
        <c:delete val="0"/>
        <c:axPos val="l"/>
        <c:title>
          <c:tx>
            <c:rich>
              <a:bodyPr rot="-5400000" vert="horz"/>
              <a:lstStyle/>
              <a:p>
                <a:pPr>
                  <a:defRPr sz="900"/>
                </a:pPr>
                <a:r>
                  <a:rPr lang="en-US" sz="900"/>
                  <a:t>Absorbance</a:t>
                </a:r>
              </a:p>
            </c:rich>
          </c:tx>
          <c:layout>
            <c:manualLayout>
              <c:xMode val="edge"/>
              <c:yMode val="edge"/>
              <c:x val="1.5886647240950095E-3"/>
              <c:y val="0.2603199466976126"/>
            </c:manualLayout>
          </c:layout>
          <c:overlay val="0"/>
        </c:title>
        <c:numFmt formatCode="0.0" sourceLinked="0"/>
        <c:majorTickMark val="out"/>
        <c:minorTickMark val="none"/>
        <c:tickLblPos val="nextTo"/>
        <c:txPr>
          <a:bodyPr/>
          <a:lstStyle/>
          <a:p>
            <a:pPr>
              <a:defRPr sz="900"/>
            </a:pPr>
            <a:endParaRPr lang="en-US"/>
          </a:p>
        </c:txPr>
        <c:crossAx val="79777792"/>
        <c:crosses val="autoZero"/>
        <c:crossBetween val="midCat"/>
      </c:valAx>
      <c:spPr>
        <a:ln>
          <a:solidFill>
            <a:sysClr val="windowText" lastClr="000000"/>
          </a:solidFill>
        </a:ln>
      </c:spPr>
    </c:plotArea>
    <c:plotVisOnly val="1"/>
    <c:dispBlanksAs val="gap"/>
    <c:showDLblsOverMax val="0"/>
  </c:chart>
  <c:spPr>
    <a:ln w="6350">
      <a:solidFill>
        <a:schemeClr val="tx1"/>
      </a:solidFill>
      <a:prstDash val="solid"/>
    </a:ln>
  </c:spPr>
  <c:txPr>
    <a:bodyPr/>
    <a:lstStyle/>
    <a:p>
      <a:pPr>
        <a:defRPr sz="1000">
          <a:latin typeface="Times New Roman" pitchFamily="18" charset="0"/>
          <a:cs typeface="Times New Roman" pitchFamily="18" charset="0"/>
        </a:defRPr>
      </a:pPr>
      <a:endParaRPr lang="en-US"/>
    </a:p>
  </c:txPr>
  <c:externalData r:id="rId1">
    <c:autoUpdate val="0"/>
  </c:externalData>
  <c:userShapes r:id="rId2"/>
</c:chartSpace>
</file>

<file path=word/drawings/_rels/drawing3.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cdr:x>
      <cdr:y>0.03208</cdr:y>
    </cdr:from>
    <cdr:to>
      <cdr:x>0.23097</cdr:x>
      <cdr:y>0.15319</cdr:y>
    </cdr:to>
    <cdr:sp macro="" textlink="">
      <cdr:nvSpPr>
        <cdr:cNvPr id="2" name="Text Box 1"/>
        <cdr:cNvSpPr txBox="1"/>
      </cdr:nvSpPr>
      <cdr:spPr>
        <a:xfrm xmlns:a="http://schemas.openxmlformats.org/drawingml/2006/main">
          <a:off x="0" y="69282"/>
          <a:ext cx="831449" cy="2615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a:latin typeface="Times New Roman" pitchFamily="18" charset="0"/>
              <a:cs typeface="Times New Roman"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0.03842</cdr:y>
    </cdr:from>
    <cdr:to>
      <cdr:x>0.19382</cdr:x>
      <cdr:y>0.15996</cdr:y>
    </cdr:to>
    <cdr:sp macro="" textlink="">
      <cdr:nvSpPr>
        <cdr:cNvPr id="3" name="Text Box 1"/>
        <cdr:cNvSpPr txBox="1"/>
      </cdr:nvSpPr>
      <cdr:spPr>
        <a:xfrm xmlns:a="http://schemas.openxmlformats.org/drawingml/2006/main">
          <a:off x="-1982419" y="82983"/>
          <a:ext cx="697716" cy="26248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l"/>
          <a:r>
            <a:rPr lang="en-GB" sz="1000">
              <a:latin typeface="Times New Roman" pitchFamily="18" charset="0"/>
              <a:cs typeface="Times New Roman"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0.51003</cdr:x>
      <cdr:y>0.3812</cdr:y>
    </cdr:from>
    <cdr:to>
      <cdr:x>0.9415</cdr:x>
      <cdr:y>0.7921</cdr:y>
    </cdr:to>
    <cdr:pic>
      <cdr:nvPicPr>
        <cdr:cNvPr id="9" name="Picture 8"/>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148560" y="863911"/>
          <a:ext cx="1817580" cy="931231"/>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9E74E-F4A0-4252-8DC0-8E0CADA25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5335</Words>
  <Characters>30890</Characters>
  <Application>Microsoft Office Word</Application>
  <DocSecurity>0</DocSecurity>
  <Lines>561</Lines>
  <Paragraphs>203</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36022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25</cp:revision>
  <cp:lastPrinted>2019-02-11T13:42:00Z</cp:lastPrinted>
  <dcterms:created xsi:type="dcterms:W3CDTF">2019-01-17T14:01:00Z</dcterms:created>
  <dcterms:modified xsi:type="dcterms:W3CDTF">2019-02-11T13:42:00Z</dcterms:modified>
</cp:coreProperties>
</file>