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E9DAA4" w14:textId="77777777" w:rsidR="00FC49B4" w:rsidRDefault="00287AF9" w:rsidP="00785CA6">
      <w:pPr>
        <w:jc w:val="center"/>
        <w:outlineLvl w:val="0"/>
        <w:rPr>
          <w:rFonts w:cs="Times New Roman"/>
          <w:sz w:val="28"/>
        </w:rPr>
      </w:pPr>
      <w:r w:rsidRPr="00287AF9">
        <w:rPr>
          <w:rFonts w:cs="Times New Roman"/>
          <w:sz w:val="28"/>
        </w:rPr>
        <w:t xml:space="preserve">DEVELOPMENT AND VALIDATION OF HPLC METHOD FOR QUANTIFICATION OF DOCETAXEL </w:t>
      </w:r>
      <w:r w:rsidR="005E07DB">
        <w:rPr>
          <w:rFonts w:cs="Times New Roman"/>
          <w:sz w:val="28"/>
        </w:rPr>
        <w:t xml:space="preserve">IN PALM-BASED </w:t>
      </w:r>
    </w:p>
    <w:p w14:paraId="36B1B9DF" w14:textId="7AFF36E5" w:rsidR="00785CA6" w:rsidRPr="009C4E07" w:rsidRDefault="005E07DB" w:rsidP="00785CA6">
      <w:pPr>
        <w:jc w:val="center"/>
        <w:outlineLvl w:val="0"/>
        <w:rPr>
          <w:rFonts w:cs="Times New Roman"/>
          <w:b/>
          <w:color w:val="548DD4" w:themeColor="text2" w:themeTint="99"/>
          <w:szCs w:val="20"/>
        </w:rPr>
      </w:pPr>
      <w:r>
        <w:rPr>
          <w:rFonts w:cs="Times New Roman"/>
          <w:sz w:val="28"/>
        </w:rPr>
        <w:t>NANOEMULSION AEROSOLS</w:t>
      </w:r>
    </w:p>
    <w:p w14:paraId="5B347E32" w14:textId="77777777" w:rsidR="00785CA6" w:rsidRPr="00001D81" w:rsidRDefault="00785CA6" w:rsidP="009C4E07">
      <w:pPr>
        <w:jc w:val="center"/>
        <w:outlineLvl w:val="0"/>
        <w:rPr>
          <w:rFonts w:cs="Times New Roman"/>
          <w:b/>
          <w:color w:val="548DD4" w:themeColor="text2" w:themeTint="99"/>
          <w:sz w:val="24"/>
        </w:rPr>
      </w:pPr>
    </w:p>
    <w:p w14:paraId="2CCAFDCA" w14:textId="77777777" w:rsidR="00FC49B4" w:rsidRPr="00FC49B4" w:rsidRDefault="00287AF9" w:rsidP="00785CA6">
      <w:pPr>
        <w:jc w:val="center"/>
        <w:outlineLvl w:val="0"/>
        <w:rPr>
          <w:rFonts w:cs="Times New Roman"/>
          <w:sz w:val="24"/>
          <w:lang w:val="ms-MY"/>
        </w:rPr>
      </w:pPr>
      <w:r w:rsidRPr="00287AF9">
        <w:rPr>
          <w:rFonts w:cs="Times New Roman"/>
          <w:sz w:val="24"/>
        </w:rPr>
        <w:t>(</w:t>
      </w:r>
      <w:r w:rsidRPr="00FC49B4">
        <w:rPr>
          <w:rFonts w:cs="Times New Roman"/>
          <w:sz w:val="24"/>
          <w:lang w:val="ms-MY"/>
        </w:rPr>
        <w:t xml:space="preserve">Pembangunan dan Validasi Kaedah </w:t>
      </w:r>
      <w:r w:rsidR="00FC49B4" w:rsidRPr="00FC49B4">
        <w:rPr>
          <w:rFonts w:cs="Times New Roman"/>
          <w:sz w:val="24"/>
          <w:lang w:val="ms-MY"/>
        </w:rPr>
        <w:t>KCPT</w:t>
      </w:r>
      <w:r w:rsidRPr="00FC49B4">
        <w:rPr>
          <w:rFonts w:cs="Times New Roman"/>
          <w:sz w:val="24"/>
          <w:lang w:val="ms-MY"/>
        </w:rPr>
        <w:t xml:space="preserve"> untuk Kuantifikasi Docetaxel </w:t>
      </w:r>
    </w:p>
    <w:p w14:paraId="07DA2A5F" w14:textId="1AFB1114" w:rsidR="00785CA6" w:rsidRPr="00287AF9" w:rsidRDefault="00287AF9" w:rsidP="00785CA6">
      <w:pPr>
        <w:jc w:val="center"/>
        <w:outlineLvl w:val="0"/>
        <w:rPr>
          <w:rFonts w:cs="Times New Roman"/>
          <w:sz w:val="24"/>
        </w:rPr>
      </w:pPr>
      <w:r w:rsidRPr="00FC49B4">
        <w:rPr>
          <w:rFonts w:cs="Times New Roman"/>
          <w:sz w:val="24"/>
          <w:lang w:val="ms-MY"/>
        </w:rPr>
        <w:t>di dalam Nanoemulsi</w:t>
      </w:r>
      <w:r w:rsidR="001A59A3" w:rsidRPr="00FC49B4">
        <w:rPr>
          <w:rFonts w:cs="Times New Roman"/>
          <w:sz w:val="24"/>
          <w:lang w:val="ms-MY"/>
        </w:rPr>
        <w:t xml:space="preserve"> Aerosol</w:t>
      </w:r>
      <w:r w:rsidRPr="00FC49B4">
        <w:rPr>
          <w:rFonts w:cs="Times New Roman"/>
          <w:sz w:val="24"/>
          <w:lang w:val="ms-MY"/>
        </w:rPr>
        <w:t xml:space="preserve"> Berasaskan </w:t>
      </w:r>
      <w:r w:rsidR="005E07DB" w:rsidRPr="00FC49B4">
        <w:rPr>
          <w:rFonts w:cs="Times New Roman"/>
          <w:sz w:val="24"/>
          <w:lang w:val="ms-MY"/>
        </w:rPr>
        <w:t>Sa</w:t>
      </w:r>
      <w:r w:rsidR="001A59A3" w:rsidRPr="00FC49B4">
        <w:rPr>
          <w:rFonts w:cs="Times New Roman"/>
          <w:sz w:val="24"/>
          <w:lang w:val="ms-MY"/>
        </w:rPr>
        <w:t>wit</w:t>
      </w:r>
      <w:r w:rsidR="00785CA6" w:rsidRPr="00287AF9">
        <w:rPr>
          <w:rFonts w:cs="Times New Roman"/>
          <w:sz w:val="24"/>
        </w:rPr>
        <w:t>)</w:t>
      </w:r>
    </w:p>
    <w:p w14:paraId="579828B2" w14:textId="77777777" w:rsidR="00785CA6" w:rsidRPr="009C4E07" w:rsidRDefault="00785CA6" w:rsidP="00785CA6">
      <w:pPr>
        <w:jc w:val="center"/>
        <w:outlineLvl w:val="0"/>
        <w:rPr>
          <w:rFonts w:cs="Times New Roman"/>
          <w:b/>
          <w:color w:val="548DD4" w:themeColor="text2" w:themeTint="99"/>
          <w:szCs w:val="20"/>
        </w:rPr>
      </w:pPr>
    </w:p>
    <w:p w14:paraId="035E189F" w14:textId="77777777" w:rsidR="00785CA6" w:rsidRPr="00747021" w:rsidRDefault="00413F72" w:rsidP="00785CA6">
      <w:pPr>
        <w:jc w:val="center"/>
        <w:outlineLvl w:val="0"/>
        <w:rPr>
          <w:rFonts w:cs="Times New Roman"/>
          <w:szCs w:val="20"/>
          <w:vertAlign w:val="superscript"/>
        </w:rPr>
      </w:pPr>
      <w:r w:rsidRPr="00413F72">
        <w:rPr>
          <w:rFonts w:cs="Times New Roman"/>
          <w:szCs w:val="20"/>
        </w:rPr>
        <w:t>Azren Aida Asmawi</w:t>
      </w:r>
      <w:r w:rsidRPr="00413F72">
        <w:rPr>
          <w:rFonts w:cs="Times New Roman"/>
          <w:szCs w:val="20"/>
          <w:vertAlign w:val="superscript"/>
        </w:rPr>
        <w:t>1</w:t>
      </w:r>
      <w:r w:rsidRPr="00413F72">
        <w:rPr>
          <w:rFonts w:cs="Times New Roman"/>
          <w:szCs w:val="20"/>
        </w:rPr>
        <w:t>, Norazlinaliza Salim</w:t>
      </w:r>
      <w:r w:rsidRPr="00413F72">
        <w:rPr>
          <w:rFonts w:cs="Times New Roman"/>
          <w:szCs w:val="20"/>
          <w:vertAlign w:val="superscript"/>
        </w:rPr>
        <w:t>1</w:t>
      </w:r>
      <w:r w:rsidR="005535ED">
        <w:rPr>
          <w:rFonts w:cs="Times New Roman"/>
          <w:szCs w:val="20"/>
          <w:vertAlign w:val="superscript"/>
        </w:rPr>
        <w:t>,2</w:t>
      </w:r>
      <w:r w:rsidRPr="00413F72">
        <w:rPr>
          <w:rFonts w:cs="Times New Roman"/>
          <w:szCs w:val="20"/>
        </w:rPr>
        <w:t xml:space="preserve">, </w:t>
      </w:r>
      <w:r w:rsidR="00F0168C" w:rsidRPr="00F0168C">
        <w:rPr>
          <w:rFonts w:cs="Times New Roman"/>
          <w:szCs w:val="20"/>
        </w:rPr>
        <w:t>Emilia Abdulmalek</w:t>
      </w:r>
      <w:r w:rsidR="00F0168C" w:rsidRPr="00F0168C">
        <w:rPr>
          <w:rFonts w:cs="Times New Roman"/>
          <w:szCs w:val="20"/>
          <w:vertAlign w:val="superscript"/>
        </w:rPr>
        <w:t>1</w:t>
      </w:r>
      <w:r w:rsidR="005535ED">
        <w:rPr>
          <w:rFonts w:cs="Times New Roman"/>
          <w:szCs w:val="20"/>
          <w:vertAlign w:val="superscript"/>
        </w:rPr>
        <w:t>,2</w:t>
      </w:r>
      <w:r w:rsidR="00F0168C">
        <w:rPr>
          <w:rFonts w:cs="Times New Roman"/>
          <w:szCs w:val="20"/>
        </w:rPr>
        <w:t xml:space="preserve">, </w:t>
      </w:r>
      <w:r w:rsidRPr="00413F72">
        <w:rPr>
          <w:rFonts w:cs="Times New Roman"/>
          <w:szCs w:val="20"/>
        </w:rPr>
        <w:t>Mohd Basyaruddin Abdul Rahman</w:t>
      </w:r>
      <w:r w:rsidRPr="00413F72">
        <w:rPr>
          <w:rFonts w:cs="Times New Roman"/>
          <w:szCs w:val="20"/>
          <w:vertAlign w:val="superscript"/>
        </w:rPr>
        <w:t>1</w:t>
      </w:r>
      <w:r w:rsidR="005535ED">
        <w:rPr>
          <w:rFonts w:cs="Times New Roman"/>
          <w:szCs w:val="20"/>
          <w:vertAlign w:val="superscript"/>
        </w:rPr>
        <w:t>,2</w:t>
      </w:r>
      <w:r w:rsidRPr="00413F72">
        <w:rPr>
          <w:rFonts w:cs="Times New Roman"/>
          <w:szCs w:val="20"/>
          <w:vertAlign w:val="superscript"/>
        </w:rPr>
        <w:t>*</w:t>
      </w:r>
    </w:p>
    <w:p w14:paraId="4BE34B13" w14:textId="77777777" w:rsidR="00785CA6" w:rsidRPr="009C4E07" w:rsidRDefault="00785CA6" w:rsidP="00785CA6">
      <w:pPr>
        <w:jc w:val="center"/>
        <w:outlineLvl w:val="0"/>
        <w:rPr>
          <w:rFonts w:cs="Times New Roman"/>
          <w:b/>
          <w:color w:val="FF0000"/>
          <w:sz w:val="18"/>
          <w:szCs w:val="18"/>
        </w:rPr>
      </w:pPr>
    </w:p>
    <w:p w14:paraId="295B5D36" w14:textId="77777777" w:rsidR="00FC49B4" w:rsidRDefault="00413F72" w:rsidP="00F0168C">
      <w:pPr>
        <w:jc w:val="center"/>
        <w:outlineLvl w:val="0"/>
        <w:rPr>
          <w:rFonts w:cs="Times New Roman"/>
          <w:i/>
          <w:sz w:val="18"/>
          <w:szCs w:val="18"/>
        </w:rPr>
      </w:pPr>
      <w:r>
        <w:rPr>
          <w:rFonts w:cs="Times New Roman"/>
          <w:i/>
          <w:sz w:val="18"/>
          <w:szCs w:val="18"/>
          <w:vertAlign w:val="superscript"/>
        </w:rPr>
        <w:t>1</w:t>
      </w:r>
      <w:r w:rsidR="00F0168C" w:rsidRPr="00F0168C">
        <w:rPr>
          <w:rFonts w:cs="Times New Roman"/>
          <w:i/>
          <w:sz w:val="18"/>
          <w:szCs w:val="18"/>
        </w:rPr>
        <w:t xml:space="preserve">Integrated Chemical BioPhysics Research, </w:t>
      </w:r>
    </w:p>
    <w:p w14:paraId="5AABDCC9" w14:textId="77777777" w:rsidR="00FC49B4" w:rsidRDefault="005535ED" w:rsidP="00F0168C">
      <w:pPr>
        <w:jc w:val="center"/>
        <w:outlineLvl w:val="0"/>
        <w:rPr>
          <w:rFonts w:cs="Times New Roman"/>
          <w:i/>
          <w:sz w:val="18"/>
          <w:szCs w:val="18"/>
        </w:rPr>
      </w:pPr>
      <w:r w:rsidRPr="005535ED">
        <w:rPr>
          <w:rFonts w:cs="Times New Roman"/>
          <w:i/>
          <w:sz w:val="18"/>
          <w:szCs w:val="18"/>
          <w:vertAlign w:val="superscript"/>
        </w:rPr>
        <w:t>2</w:t>
      </w:r>
      <w:r>
        <w:rPr>
          <w:rFonts w:cs="Times New Roman"/>
          <w:i/>
          <w:sz w:val="18"/>
          <w:szCs w:val="18"/>
        </w:rPr>
        <w:t xml:space="preserve">Department of Chemistry, </w:t>
      </w:r>
    </w:p>
    <w:p w14:paraId="1FE9977F" w14:textId="0E41E5B0" w:rsidR="005535ED" w:rsidRPr="005535ED" w:rsidRDefault="005535ED" w:rsidP="00F0168C">
      <w:pPr>
        <w:jc w:val="center"/>
        <w:outlineLvl w:val="0"/>
        <w:rPr>
          <w:rFonts w:cs="Times New Roman"/>
          <w:i/>
          <w:sz w:val="18"/>
          <w:szCs w:val="18"/>
        </w:rPr>
      </w:pPr>
      <w:r>
        <w:rPr>
          <w:rFonts w:cs="Times New Roman"/>
          <w:i/>
          <w:sz w:val="18"/>
          <w:szCs w:val="18"/>
        </w:rPr>
        <w:t>Faculty of Science, Universiti Putra Malaysia, 43400 UPM Serdang, Selangor, Malaysia</w:t>
      </w:r>
    </w:p>
    <w:p w14:paraId="5F659FD4" w14:textId="77777777" w:rsidR="00A415C1" w:rsidRPr="009C4E07" w:rsidRDefault="00A415C1" w:rsidP="00785CA6">
      <w:pPr>
        <w:jc w:val="center"/>
        <w:outlineLvl w:val="0"/>
        <w:rPr>
          <w:rFonts w:cs="Times New Roman"/>
          <w:b/>
          <w:color w:val="548DD4" w:themeColor="text2" w:themeTint="99"/>
          <w:sz w:val="18"/>
          <w:szCs w:val="18"/>
        </w:rPr>
      </w:pPr>
    </w:p>
    <w:p w14:paraId="58B166CC" w14:textId="77777777" w:rsidR="00A415C1" w:rsidRPr="00747021" w:rsidRDefault="00A415C1" w:rsidP="00A415C1">
      <w:pPr>
        <w:jc w:val="center"/>
        <w:outlineLvl w:val="0"/>
        <w:rPr>
          <w:rFonts w:cs="Times New Roman"/>
          <w:i/>
          <w:color w:val="548DD4" w:themeColor="text2" w:themeTint="99"/>
          <w:sz w:val="18"/>
        </w:rPr>
      </w:pPr>
      <w:r w:rsidRPr="00747021">
        <w:rPr>
          <w:rFonts w:cs="Times New Roman"/>
          <w:i/>
          <w:sz w:val="18"/>
          <w:vertAlign w:val="superscript"/>
        </w:rPr>
        <w:t>*</w:t>
      </w:r>
      <w:r w:rsidRPr="00747021">
        <w:rPr>
          <w:rFonts w:cs="Times New Roman"/>
          <w:i/>
          <w:sz w:val="18"/>
        </w:rPr>
        <w:t xml:space="preserve">Corresponding author: </w:t>
      </w:r>
      <w:r w:rsidR="00413F72" w:rsidRPr="00413F72">
        <w:rPr>
          <w:rFonts w:cs="Times New Roman"/>
          <w:i/>
          <w:sz w:val="18"/>
        </w:rPr>
        <w:t xml:space="preserve">basya@upm.edu.my </w:t>
      </w:r>
    </w:p>
    <w:p w14:paraId="25E55D9C" w14:textId="77777777" w:rsidR="009C4E07" w:rsidRPr="009C4E07" w:rsidRDefault="009C4E07" w:rsidP="00FC49B4">
      <w:pPr>
        <w:outlineLvl w:val="0"/>
        <w:rPr>
          <w:rFonts w:cs="Times New Roman"/>
          <w:b/>
          <w:color w:val="FF0000"/>
          <w:sz w:val="18"/>
          <w:szCs w:val="18"/>
        </w:rPr>
      </w:pPr>
    </w:p>
    <w:p w14:paraId="6B44EA42" w14:textId="77777777" w:rsidR="00785CA6" w:rsidRPr="009C4E07" w:rsidRDefault="00785CA6" w:rsidP="00F35D85">
      <w:pPr>
        <w:jc w:val="center"/>
        <w:outlineLvl w:val="0"/>
        <w:rPr>
          <w:rFonts w:cs="Times New Roman"/>
          <w:b/>
          <w:sz w:val="18"/>
          <w:szCs w:val="18"/>
        </w:rPr>
      </w:pPr>
      <w:r w:rsidRPr="009C4E07">
        <w:rPr>
          <w:rFonts w:cs="Times New Roman"/>
          <w:b/>
          <w:sz w:val="18"/>
          <w:szCs w:val="18"/>
        </w:rPr>
        <w:t>Abstract</w:t>
      </w:r>
    </w:p>
    <w:p w14:paraId="4DDBD5D8" w14:textId="77777777" w:rsidR="003F3701" w:rsidRDefault="00413F72" w:rsidP="00785CA6">
      <w:pPr>
        <w:outlineLvl w:val="0"/>
        <w:rPr>
          <w:rFonts w:cs="Times New Roman"/>
          <w:sz w:val="18"/>
          <w:szCs w:val="18"/>
        </w:rPr>
      </w:pPr>
      <w:r w:rsidRPr="00413F72">
        <w:rPr>
          <w:rFonts w:cs="Times New Roman"/>
          <w:sz w:val="18"/>
          <w:szCs w:val="18"/>
        </w:rPr>
        <w:t xml:space="preserve">Lung cancer is the leading cause of cancer-related deaths worldwide. Among the most potent of chemotherapeutic drugs used for lung cancer treatment are the taxanes, including docetaxel. However, the drugs’ efficacy in combating the disease is reduced due to their poor solubility, low stability and high toxicity. </w:t>
      </w:r>
      <w:r w:rsidR="00A31775" w:rsidRPr="00A31775">
        <w:rPr>
          <w:rFonts w:cs="Times New Roman"/>
          <w:sz w:val="18"/>
          <w:szCs w:val="18"/>
        </w:rPr>
        <w:t xml:space="preserve">Inhalation therapy of lipid-based carrier has great potential in direct target towards the respiratory diseases. Hence, application of aerosolized palm-based nanoemulsion system is one approach to alleviate the drawbacks. </w:t>
      </w:r>
      <w:r w:rsidRPr="00413F72">
        <w:rPr>
          <w:rFonts w:cs="Times New Roman"/>
          <w:sz w:val="18"/>
          <w:szCs w:val="18"/>
        </w:rPr>
        <w:t>This study describes the development and validation of method that can quantitate the amount of docetaxel in nanoemulsion formulation via high-performance liquid chromatography (HPLC). Chromatographic analysis was conducted using a reversed phase C</w:t>
      </w:r>
      <w:r w:rsidRPr="00413F72">
        <w:rPr>
          <w:rFonts w:cs="Times New Roman"/>
          <w:sz w:val="18"/>
          <w:szCs w:val="18"/>
          <w:vertAlign w:val="subscript"/>
        </w:rPr>
        <w:t xml:space="preserve">18 </w:t>
      </w:r>
      <w:r w:rsidRPr="00413F72">
        <w:rPr>
          <w:rFonts w:cs="Times New Roman"/>
          <w:sz w:val="18"/>
          <w:szCs w:val="18"/>
        </w:rPr>
        <w:t>column with a mixture of acetonitrile and water (50:50) adjusted to pH 3.0 as the mobile phase. The flow rate was 1.0 mL/min and the</w:t>
      </w:r>
      <w:r w:rsidR="00D75B40">
        <w:rPr>
          <w:rFonts w:cs="Times New Roman"/>
          <w:sz w:val="18"/>
          <w:szCs w:val="18"/>
        </w:rPr>
        <w:t xml:space="preserve"> detection </w:t>
      </w:r>
      <w:r w:rsidR="00E91A35">
        <w:rPr>
          <w:rFonts w:cs="Times New Roman"/>
          <w:sz w:val="18"/>
          <w:szCs w:val="18"/>
        </w:rPr>
        <w:t>was</w:t>
      </w:r>
      <w:r w:rsidR="00D75B40">
        <w:rPr>
          <w:rFonts w:cs="Times New Roman"/>
          <w:sz w:val="18"/>
          <w:szCs w:val="18"/>
        </w:rPr>
        <w:t xml:space="preserve"> carried out by ultraviolet</w:t>
      </w:r>
      <w:r w:rsidRPr="00413F72">
        <w:rPr>
          <w:rFonts w:cs="Times New Roman"/>
          <w:sz w:val="18"/>
          <w:szCs w:val="18"/>
        </w:rPr>
        <w:t xml:space="preserve">-visible detector at 228 nm. The developed method was validated in terms of </w:t>
      </w:r>
      <w:r w:rsidR="00AC15CA" w:rsidRPr="00413F72">
        <w:rPr>
          <w:rFonts w:cs="Times New Roman"/>
          <w:sz w:val="18"/>
          <w:szCs w:val="18"/>
        </w:rPr>
        <w:t>specificity</w:t>
      </w:r>
      <w:r w:rsidRPr="00413F72">
        <w:rPr>
          <w:rFonts w:cs="Times New Roman"/>
          <w:sz w:val="18"/>
          <w:szCs w:val="18"/>
        </w:rPr>
        <w:t>,</w:t>
      </w:r>
      <w:r w:rsidR="00423743">
        <w:rPr>
          <w:rFonts w:cs="Times New Roman"/>
          <w:sz w:val="18"/>
          <w:szCs w:val="18"/>
        </w:rPr>
        <w:t xml:space="preserve"> linearity,</w:t>
      </w:r>
      <w:r w:rsidRPr="00413F72">
        <w:rPr>
          <w:rFonts w:cs="Times New Roman"/>
          <w:sz w:val="18"/>
          <w:szCs w:val="18"/>
        </w:rPr>
        <w:t xml:space="preserve"> accuracy and</w:t>
      </w:r>
      <w:r w:rsidR="00DF2F35">
        <w:rPr>
          <w:rFonts w:cs="Times New Roman"/>
          <w:sz w:val="18"/>
          <w:szCs w:val="18"/>
        </w:rPr>
        <w:t xml:space="preserve"> precision accordance with the International Conference on H</w:t>
      </w:r>
      <w:r w:rsidRPr="00413F72">
        <w:rPr>
          <w:rFonts w:cs="Times New Roman"/>
          <w:sz w:val="18"/>
          <w:szCs w:val="18"/>
        </w:rPr>
        <w:t>armonization (ICH) guidelines. The calibration curve was linear (</w:t>
      </w:r>
      <w:r w:rsidRPr="005415AA">
        <w:rPr>
          <w:rFonts w:cs="Times New Roman"/>
          <w:i/>
          <w:sz w:val="18"/>
          <w:szCs w:val="18"/>
        </w:rPr>
        <w:t>r</w:t>
      </w:r>
      <w:r w:rsidRPr="00413F72">
        <w:rPr>
          <w:rFonts w:cs="Times New Roman"/>
          <w:sz w:val="18"/>
          <w:szCs w:val="18"/>
          <w:vertAlign w:val="superscript"/>
        </w:rPr>
        <w:t>2</w:t>
      </w:r>
      <w:r w:rsidRPr="00413F72">
        <w:rPr>
          <w:rFonts w:cs="Times New Roman"/>
          <w:sz w:val="18"/>
          <w:szCs w:val="18"/>
        </w:rPr>
        <w:t xml:space="preserve"> = 0.999) over the concentration range from 62.5 to 1000 μg/mL with lower limit of detection </w:t>
      </w:r>
      <w:bookmarkStart w:id="0" w:name="_Hlk14011666"/>
      <w:r w:rsidRPr="00413F72">
        <w:rPr>
          <w:rFonts w:cs="Times New Roman"/>
          <w:sz w:val="18"/>
          <w:szCs w:val="18"/>
        </w:rPr>
        <w:t xml:space="preserve">(LOD) of </w:t>
      </w:r>
      <w:r w:rsidR="00BD23C8">
        <w:rPr>
          <w:rFonts w:cs="Times New Roman"/>
          <w:sz w:val="18"/>
          <w:szCs w:val="18"/>
        </w:rPr>
        <w:t>9.88</w:t>
      </w:r>
      <w:r w:rsidRPr="00413F72">
        <w:rPr>
          <w:rFonts w:cs="Times New Roman"/>
          <w:sz w:val="18"/>
          <w:szCs w:val="18"/>
        </w:rPr>
        <w:t xml:space="preserve"> µg/mL and lower limit of quantification (LOQ) of </w:t>
      </w:r>
      <w:r w:rsidR="00BD23C8">
        <w:rPr>
          <w:rFonts w:cs="Times New Roman"/>
          <w:sz w:val="18"/>
          <w:szCs w:val="18"/>
        </w:rPr>
        <w:t>29.93</w:t>
      </w:r>
      <w:r w:rsidRPr="00413F72">
        <w:rPr>
          <w:rFonts w:cs="Times New Roman"/>
          <w:sz w:val="18"/>
          <w:szCs w:val="18"/>
        </w:rPr>
        <w:t xml:space="preserve"> µg/mL</w:t>
      </w:r>
      <w:bookmarkEnd w:id="0"/>
      <w:r w:rsidRPr="00413F72">
        <w:rPr>
          <w:rFonts w:cs="Times New Roman"/>
          <w:sz w:val="18"/>
          <w:szCs w:val="18"/>
        </w:rPr>
        <w:t>. The percentage relative standard deviation for both intra and inter-day precision was less than 2%, while percentage recovery was more than 90%, indicating the precision and accuracy of the study. The developed HPLC method was proved as suitable and reliable for its intended application.</w:t>
      </w:r>
    </w:p>
    <w:p w14:paraId="05A7A0A8" w14:textId="77777777" w:rsidR="00413F72" w:rsidRPr="009C4E07" w:rsidRDefault="00413F72" w:rsidP="00785CA6">
      <w:pPr>
        <w:outlineLvl w:val="0"/>
        <w:rPr>
          <w:rFonts w:cs="Times New Roman"/>
          <w:sz w:val="18"/>
          <w:szCs w:val="18"/>
        </w:rPr>
      </w:pPr>
    </w:p>
    <w:p w14:paraId="0ACAF0B3" w14:textId="77777777" w:rsidR="00785CA6" w:rsidRPr="00001D81" w:rsidRDefault="00785CA6" w:rsidP="00785CA6">
      <w:pPr>
        <w:outlineLvl w:val="0"/>
        <w:rPr>
          <w:rFonts w:cs="Times New Roman"/>
          <w:color w:val="548DD4" w:themeColor="text2" w:themeTint="99"/>
        </w:rPr>
      </w:pPr>
      <w:r w:rsidRPr="009C4E07">
        <w:rPr>
          <w:rFonts w:cs="Times New Roman"/>
          <w:b/>
          <w:sz w:val="18"/>
          <w:szCs w:val="18"/>
        </w:rPr>
        <w:t>Keyword</w:t>
      </w:r>
      <w:r w:rsidR="009C4E07" w:rsidRPr="009C4E07">
        <w:rPr>
          <w:rFonts w:cs="Times New Roman"/>
          <w:b/>
          <w:sz w:val="18"/>
          <w:szCs w:val="18"/>
        </w:rPr>
        <w:t>s</w:t>
      </w:r>
      <w:r w:rsidRPr="00FC49B4">
        <w:rPr>
          <w:rFonts w:cs="Times New Roman"/>
          <w:b/>
          <w:bCs/>
          <w:sz w:val="18"/>
          <w:szCs w:val="18"/>
        </w:rPr>
        <w:t>:</w:t>
      </w:r>
      <w:r w:rsidRPr="00413F72">
        <w:rPr>
          <w:rFonts w:cs="Times New Roman"/>
          <w:sz w:val="18"/>
          <w:szCs w:val="18"/>
        </w:rPr>
        <w:t xml:space="preserve"> </w:t>
      </w:r>
      <w:r w:rsidR="00866412">
        <w:rPr>
          <w:rFonts w:cs="Times New Roman"/>
          <w:sz w:val="18"/>
          <w:szCs w:val="18"/>
        </w:rPr>
        <w:t xml:space="preserve">aerosols, </w:t>
      </w:r>
      <w:r w:rsidR="00866412" w:rsidRPr="00866412">
        <w:rPr>
          <w:rFonts w:cs="Times New Roman"/>
          <w:sz w:val="18"/>
          <w:szCs w:val="18"/>
        </w:rPr>
        <w:t>docetaxel,</w:t>
      </w:r>
      <w:r w:rsidR="00866412" w:rsidRPr="00866412">
        <w:t xml:space="preserve"> </w:t>
      </w:r>
      <w:r w:rsidR="00866412" w:rsidRPr="00866412">
        <w:rPr>
          <w:rFonts w:cs="Times New Roman"/>
          <w:sz w:val="18"/>
          <w:szCs w:val="18"/>
        </w:rPr>
        <w:t>high-performance liquid chromatography</w:t>
      </w:r>
      <w:r w:rsidR="00866412">
        <w:rPr>
          <w:rFonts w:cs="Times New Roman"/>
          <w:sz w:val="18"/>
          <w:szCs w:val="18"/>
        </w:rPr>
        <w:t>,</w:t>
      </w:r>
      <w:r w:rsidR="00E4533F">
        <w:rPr>
          <w:rFonts w:cs="Times New Roman"/>
          <w:sz w:val="18"/>
          <w:szCs w:val="18"/>
        </w:rPr>
        <w:t xml:space="preserve"> nanoemulsion,</w:t>
      </w:r>
      <w:r w:rsidR="00866412">
        <w:rPr>
          <w:rFonts w:cs="Times New Roman"/>
          <w:sz w:val="18"/>
          <w:szCs w:val="18"/>
        </w:rPr>
        <w:t xml:space="preserve"> </w:t>
      </w:r>
      <w:r w:rsidR="00413F72" w:rsidRPr="00413F72">
        <w:rPr>
          <w:rFonts w:cs="Times New Roman"/>
          <w:sz w:val="18"/>
          <w:szCs w:val="18"/>
        </w:rPr>
        <w:t xml:space="preserve">lung cancer </w:t>
      </w:r>
    </w:p>
    <w:p w14:paraId="2680C830" w14:textId="77777777" w:rsidR="00785CA6" w:rsidRPr="009C4E07" w:rsidRDefault="00785CA6" w:rsidP="009C4E07">
      <w:pPr>
        <w:jc w:val="center"/>
        <w:outlineLvl w:val="0"/>
        <w:rPr>
          <w:rFonts w:cs="Times New Roman"/>
          <w:b/>
          <w:color w:val="548DD4" w:themeColor="text2" w:themeTint="99"/>
          <w:sz w:val="18"/>
          <w:szCs w:val="18"/>
        </w:rPr>
      </w:pPr>
    </w:p>
    <w:p w14:paraId="358CA604" w14:textId="77777777" w:rsidR="00785CA6" w:rsidRPr="00FC49B4" w:rsidRDefault="00785CA6" w:rsidP="00F35D85">
      <w:pPr>
        <w:jc w:val="center"/>
        <w:outlineLvl w:val="0"/>
        <w:rPr>
          <w:rFonts w:cs="Times New Roman"/>
          <w:b/>
          <w:sz w:val="18"/>
          <w:szCs w:val="18"/>
          <w:lang w:val="ms-MY"/>
        </w:rPr>
      </w:pPr>
      <w:r w:rsidRPr="00FC49B4">
        <w:rPr>
          <w:rFonts w:cs="Times New Roman"/>
          <w:b/>
          <w:sz w:val="18"/>
          <w:szCs w:val="18"/>
          <w:lang w:val="ms-MY"/>
        </w:rPr>
        <w:t>Abstrak</w:t>
      </w:r>
    </w:p>
    <w:p w14:paraId="6FC9B35A" w14:textId="3D32104A" w:rsidR="00785CA6" w:rsidRPr="00FC49B4" w:rsidRDefault="00413F72" w:rsidP="00785CA6">
      <w:pPr>
        <w:outlineLvl w:val="0"/>
        <w:rPr>
          <w:rFonts w:cs="Times New Roman"/>
          <w:sz w:val="18"/>
          <w:szCs w:val="18"/>
          <w:lang w:val="ms-MY"/>
        </w:rPr>
      </w:pPr>
      <w:r w:rsidRPr="00FC49B4">
        <w:rPr>
          <w:rFonts w:cs="Times New Roman"/>
          <w:sz w:val="18"/>
          <w:szCs w:val="18"/>
          <w:lang w:val="ms-MY"/>
        </w:rPr>
        <w:t xml:space="preserve">Kanser paru-paru adalah punca utama kematian akibat kanser di seluruh dunia. </w:t>
      </w:r>
      <w:r w:rsidR="002B30E7" w:rsidRPr="00FC49B4">
        <w:rPr>
          <w:rFonts w:cs="Times New Roman"/>
          <w:sz w:val="18"/>
          <w:szCs w:val="18"/>
          <w:lang w:val="ms-MY"/>
        </w:rPr>
        <w:t>Antara</w:t>
      </w:r>
      <w:r w:rsidRPr="00FC49B4">
        <w:rPr>
          <w:rFonts w:cs="Times New Roman"/>
          <w:sz w:val="18"/>
          <w:szCs w:val="18"/>
          <w:lang w:val="ms-MY"/>
        </w:rPr>
        <w:t xml:space="preserve"> ubat kemoterapi</w:t>
      </w:r>
      <w:r w:rsidR="002B30E7" w:rsidRPr="00FC49B4">
        <w:rPr>
          <w:rFonts w:cs="Times New Roman"/>
          <w:sz w:val="18"/>
          <w:szCs w:val="18"/>
          <w:lang w:val="ms-MY"/>
        </w:rPr>
        <w:t xml:space="preserve"> yang berkesan</w:t>
      </w:r>
      <w:r w:rsidRPr="00FC49B4">
        <w:rPr>
          <w:rFonts w:cs="Times New Roman"/>
          <w:sz w:val="18"/>
          <w:szCs w:val="18"/>
          <w:lang w:val="ms-MY"/>
        </w:rPr>
        <w:t xml:space="preserve"> digunakan untuk rawa</w:t>
      </w:r>
      <w:r w:rsidR="002B30E7" w:rsidRPr="00FC49B4">
        <w:rPr>
          <w:rFonts w:cs="Times New Roman"/>
          <w:sz w:val="18"/>
          <w:szCs w:val="18"/>
          <w:lang w:val="ms-MY"/>
        </w:rPr>
        <w:t>tan kanser paru-paru ialah taxane</w:t>
      </w:r>
      <w:r w:rsidRPr="00FC49B4">
        <w:rPr>
          <w:rFonts w:cs="Times New Roman"/>
          <w:sz w:val="18"/>
          <w:szCs w:val="18"/>
          <w:lang w:val="ms-MY"/>
        </w:rPr>
        <w:t>, termasuk docetaxel. Walau bagaimanapun, k</w:t>
      </w:r>
      <w:r w:rsidR="002B30E7" w:rsidRPr="00FC49B4">
        <w:rPr>
          <w:rFonts w:cs="Times New Roman"/>
          <w:sz w:val="18"/>
          <w:szCs w:val="18"/>
          <w:lang w:val="ms-MY"/>
        </w:rPr>
        <w:t>eberkesanan ubat dalam merawati</w:t>
      </w:r>
      <w:r w:rsidRPr="00FC49B4">
        <w:rPr>
          <w:rFonts w:cs="Times New Roman"/>
          <w:sz w:val="18"/>
          <w:szCs w:val="18"/>
          <w:lang w:val="ms-MY"/>
        </w:rPr>
        <w:t xml:space="preserve"> penyakit ini berkurangan disebabkan</w:t>
      </w:r>
      <w:r w:rsidR="002B30E7" w:rsidRPr="00FC49B4">
        <w:rPr>
          <w:rFonts w:cs="Times New Roman"/>
          <w:sz w:val="18"/>
          <w:szCs w:val="18"/>
          <w:lang w:val="ms-MY"/>
        </w:rPr>
        <w:t xml:space="preserve"> oleh</w:t>
      </w:r>
      <w:r w:rsidRPr="00FC49B4">
        <w:rPr>
          <w:rFonts w:cs="Times New Roman"/>
          <w:sz w:val="18"/>
          <w:szCs w:val="18"/>
          <w:lang w:val="ms-MY"/>
        </w:rPr>
        <w:t xml:space="preserve"> </w:t>
      </w:r>
      <w:r w:rsidR="002B30E7" w:rsidRPr="00FC49B4">
        <w:rPr>
          <w:rFonts w:cs="Times New Roman"/>
          <w:sz w:val="18"/>
          <w:szCs w:val="18"/>
          <w:lang w:val="ms-MY"/>
        </w:rPr>
        <w:t>kelarutannya yang kurang baik</w:t>
      </w:r>
      <w:r w:rsidRPr="00FC49B4">
        <w:rPr>
          <w:rFonts w:cs="Times New Roman"/>
          <w:sz w:val="18"/>
          <w:szCs w:val="18"/>
          <w:lang w:val="ms-MY"/>
        </w:rPr>
        <w:t>, kestabilan yang ren</w:t>
      </w:r>
      <w:r w:rsidR="00A85348" w:rsidRPr="00FC49B4">
        <w:rPr>
          <w:rFonts w:cs="Times New Roman"/>
          <w:sz w:val="18"/>
          <w:szCs w:val="18"/>
          <w:lang w:val="ms-MY"/>
        </w:rPr>
        <w:t xml:space="preserve">dah dan ketoksikan yang tinggi. </w:t>
      </w:r>
      <w:r w:rsidR="00F429C4" w:rsidRPr="00FC49B4">
        <w:rPr>
          <w:rFonts w:cs="Times New Roman"/>
          <w:sz w:val="18"/>
          <w:szCs w:val="18"/>
          <w:lang w:val="ms-MY"/>
        </w:rPr>
        <w:t>Oleh itu, p</w:t>
      </w:r>
      <w:r w:rsidRPr="00FC49B4">
        <w:rPr>
          <w:rFonts w:cs="Times New Roman"/>
          <w:sz w:val="18"/>
          <w:szCs w:val="18"/>
          <w:lang w:val="ms-MY"/>
        </w:rPr>
        <w:t>enggunaan sistem nanoemulsi berasaskan sawit adalah satu pendekatan untuk mengurangkan kelemahan</w:t>
      </w:r>
      <w:r w:rsidR="002B30E7" w:rsidRPr="00FC49B4">
        <w:rPr>
          <w:rFonts w:cs="Times New Roman"/>
          <w:sz w:val="18"/>
          <w:szCs w:val="18"/>
          <w:lang w:val="ms-MY"/>
        </w:rPr>
        <w:t xml:space="preserve"> tersebut</w:t>
      </w:r>
      <w:r w:rsidRPr="00FC49B4">
        <w:rPr>
          <w:rFonts w:cs="Times New Roman"/>
          <w:sz w:val="18"/>
          <w:szCs w:val="18"/>
          <w:lang w:val="ms-MY"/>
        </w:rPr>
        <w:t>.</w:t>
      </w:r>
      <w:r w:rsidR="00CA280D" w:rsidRPr="00FC49B4">
        <w:rPr>
          <w:rFonts w:cs="Times New Roman"/>
          <w:sz w:val="18"/>
          <w:szCs w:val="18"/>
          <w:lang w:val="ms-MY"/>
        </w:rPr>
        <w:t xml:space="preserve"> Kajian ini menerangkan pembangunan dan validasi</w:t>
      </w:r>
      <w:r w:rsidRPr="00FC49B4">
        <w:rPr>
          <w:rFonts w:cs="Times New Roman"/>
          <w:sz w:val="18"/>
          <w:szCs w:val="18"/>
          <w:lang w:val="ms-MY"/>
        </w:rPr>
        <w:t xml:space="preserve"> yang boleh mengkuantifikasi jumlah docetaxel</w:t>
      </w:r>
      <w:r w:rsidR="00CA280D" w:rsidRPr="00FC49B4">
        <w:rPr>
          <w:rFonts w:cs="Times New Roman"/>
          <w:sz w:val="18"/>
          <w:szCs w:val="18"/>
          <w:lang w:val="ms-MY"/>
        </w:rPr>
        <w:t xml:space="preserve"> di</w:t>
      </w:r>
      <w:r w:rsidRPr="00FC49B4">
        <w:rPr>
          <w:rFonts w:cs="Times New Roman"/>
          <w:sz w:val="18"/>
          <w:szCs w:val="18"/>
          <w:lang w:val="ms-MY"/>
        </w:rPr>
        <w:t xml:space="preserve"> dalam rumusan nanoemulsi melalui </w:t>
      </w:r>
      <w:r w:rsidR="002D07D7" w:rsidRPr="00FC49B4">
        <w:rPr>
          <w:rFonts w:cs="Times New Roman"/>
          <w:sz w:val="18"/>
          <w:szCs w:val="18"/>
          <w:lang w:val="ms-MY"/>
        </w:rPr>
        <w:t xml:space="preserve">kaedah </w:t>
      </w:r>
      <w:r w:rsidRPr="00FC49B4">
        <w:rPr>
          <w:rFonts w:cs="Times New Roman"/>
          <w:sz w:val="18"/>
          <w:szCs w:val="18"/>
          <w:lang w:val="ms-MY"/>
        </w:rPr>
        <w:t>kromatografi cecair prestasi tinggi (</w:t>
      </w:r>
      <w:r w:rsidR="00FC49B4">
        <w:rPr>
          <w:rFonts w:cs="Times New Roman"/>
          <w:sz w:val="18"/>
          <w:szCs w:val="18"/>
          <w:lang w:val="ms-MY"/>
        </w:rPr>
        <w:t>KCPT</w:t>
      </w:r>
      <w:r w:rsidRPr="00FC49B4">
        <w:rPr>
          <w:rFonts w:cs="Times New Roman"/>
          <w:sz w:val="18"/>
          <w:szCs w:val="18"/>
          <w:lang w:val="ms-MY"/>
        </w:rPr>
        <w:t>). Analisis kromatogr</w:t>
      </w:r>
      <w:r w:rsidR="00CA280D" w:rsidRPr="00FC49B4">
        <w:rPr>
          <w:rFonts w:cs="Times New Roman"/>
          <w:sz w:val="18"/>
          <w:szCs w:val="18"/>
          <w:lang w:val="ms-MY"/>
        </w:rPr>
        <w:t>afi dijalankan menggunakan turus</w:t>
      </w:r>
      <w:r w:rsidRPr="00FC49B4">
        <w:rPr>
          <w:rFonts w:cs="Times New Roman"/>
          <w:sz w:val="18"/>
          <w:szCs w:val="18"/>
          <w:lang w:val="ms-MY"/>
        </w:rPr>
        <w:t xml:space="preserve"> fasa terbalik </w:t>
      </w:r>
      <w:r w:rsidR="00CA280D" w:rsidRPr="00FC49B4">
        <w:rPr>
          <w:rFonts w:cs="Times New Roman"/>
          <w:sz w:val="18"/>
          <w:szCs w:val="18"/>
          <w:lang w:val="ms-MY"/>
        </w:rPr>
        <w:t>C</w:t>
      </w:r>
      <w:r w:rsidR="00CA280D" w:rsidRPr="00FC49B4">
        <w:rPr>
          <w:rFonts w:cs="Times New Roman"/>
          <w:sz w:val="18"/>
          <w:szCs w:val="18"/>
          <w:vertAlign w:val="subscript"/>
          <w:lang w:val="ms-MY"/>
        </w:rPr>
        <w:t>18</w:t>
      </w:r>
      <w:r w:rsidR="00CA280D" w:rsidRPr="00FC49B4">
        <w:rPr>
          <w:rFonts w:cs="Times New Roman"/>
          <w:sz w:val="18"/>
          <w:szCs w:val="18"/>
          <w:lang w:val="ms-MY"/>
        </w:rPr>
        <w:t xml:space="preserve"> </w:t>
      </w:r>
      <w:r w:rsidRPr="00FC49B4">
        <w:rPr>
          <w:rFonts w:cs="Times New Roman"/>
          <w:sz w:val="18"/>
          <w:szCs w:val="18"/>
          <w:lang w:val="ms-MY"/>
        </w:rPr>
        <w:t>dengan campuran asetonitril dan air (50:50) diselaraskan kepada pH 3.0 sebagai fasa berge</w:t>
      </w:r>
      <w:r w:rsidR="00CA280D" w:rsidRPr="00FC49B4">
        <w:rPr>
          <w:rFonts w:cs="Times New Roman"/>
          <w:sz w:val="18"/>
          <w:szCs w:val="18"/>
          <w:lang w:val="ms-MY"/>
        </w:rPr>
        <w:t>rak. Kadar aliran adalah 1.0 mL/</w:t>
      </w:r>
      <w:r w:rsidRPr="00FC49B4">
        <w:rPr>
          <w:rFonts w:cs="Times New Roman"/>
          <w:sz w:val="18"/>
          <w:szCs w:val="18"/>
          <w:lang w:val="ms-MY"/>
        </w:rPr>
        <w:t>min dan pengesanan dila</w:t>
      </w:r>
      <w:r w:rsidR="00D75B40" w:rsidRPr="00FC49B4">
        <w:rPr>
          <w:rFonts w:cs="Times New Roman"/>
          <w:sz w:val="18"/>
          <w:szCs w:val="18"/>
          <w:lang w:val="ms-MY"/>
        </w:rPr>
        <w:t>kukan oleh pengesan ultralembayung-nampak</w:t>
      </w:r>
      <w:r w:rsidRPr="00FC49B4">
        <w:rPr>
          <w:rFonts w:cs="Times New Roman"/>
          <w:sz w:val="18"/>
          <w:szCs w:val="18"/>
          <w:lang w:val="ms-MY"/>
        </w:rPr>
        <w:t xml:space="preserve"> pada 228 nm. Kaedah yang dibangunkan te</w:t>
      </w:r>
      <w:r w:rsidR="00DF2F35" w:rsidRPr="00FC49B4">
        <w:rPr>
          <w:rFonts w:cs="Times New Roman"/>
          <w:sz w:val="18"/>
          <w:szCs w:val="18"/>
          <w:lang w:val="ms-MY"/>
        </w:rPr>
        <w:t xml:space="preserve">lah disahkan dari segi </w:t>
      </w:r>
      <w:r w:rsidR="00423743" w:rsidRPr="00FC49B4">
        <w:rPr>
          <w:rFonts w:cs="Times New Roman"/>
          <w:sz w:val="18"/>
          <w:szCs w:val="18"/>
          <w:lang w:val="ms-MY"/>
        </w:rPr>
        <w:t>kekhususan,</w:t>
      </w:r>
      <w:r w:rsidR="00FC49B4">
        <w:rPr>
          <w:rFonts w:cs="Times New Roman"/>
          <w:sz w:val="18"/>
          <w:szCs w:val="18"/>
          <w:lang w:val="ms-MY"/>
        </w:rPr>
        <w:t xml:space="preserve"> kelinearan</w:t>
      </w:r>
      <w:r w:rsidR="00DF2F35" w:rsidRPr="00FC49B4">
        <w:rPr>
          <w:rFonts w:cs="Times New Roman"/>
          <w:sz w:val="18"/>
          <w:szCs w:val="18"/>
          <w:lang w:val="ms-MY"/>
        </w:rPr>
        <w:t xml:space="preserve">, kejituan, ketepatan dan kepersisan berdasarkan garis panduan </w:t>
      </w:r>
      <w:r w:rsidR="00FC49B4" w:rsidRPr="00FC49B4">
        <w:rPr>
          <w:rFonts w:cs="Times New Roman"/>
          <w:sz w:val="18"/>
          <w:szCs w:val="18"/>
          <w:lang w:val="ms-MY"/>
        </w:rPr>
        <w:t xml:space="preserve">persidangan pengharmonian antarabangsa </w:t>
      </w:r>
      <w:r w:rsidRPr="00FC49B4">
        <w:rPr>
          <w:rFonts w:cs="Times New Roman"/>
          <w:sz w:val="18"/>
          <w:szCs w:val="18"/>
          <w:lang w:val="ms-MY"/>
        </w:rPr>
        <w:t xml:space="preserve">(ICH). </w:t>
      </w:r>
      <w:r w:rsidR="005415AA" w:rsidRPr="00FC49B4">
        <w:rPr>
          <w:rFonts w:cs="Times New Roman"/>
          <w:sz w:val="18"/>
          <w:szCs w:val="18"/>
          <w:lang w:val="ms-MY"/>
        </w:rPr>
        <w:t>Plot tentukuran adalah linea</w:t>
      </w:r>
      <w:r w:rsidRPr="00FC49B4">
        <w:rPr>
          <w:rFonts w:cs="Times New Roman"/>
          <w:sz w:val="18"/>
          <w:szCs w:val="18"/>
          <w:lang w:val="ms-MY"/>
        </w:rPr>
        <w:t>r (</w:t>
      </w:r>
      <w:r w:rsidRPr="00FC49B4">
        <w:rPr>
          <w:rFonts w:cs="Times New Roman"/>
          <w:i/>
          <w:sz w:val="18"/>
          <w:szCs w:val="18"/>
          <w:lang w:val="ms-MY"/>
        </w:rPr>
        <w:t>r</w:t>
      </w:r>
      <w:r w:rsidRPr="00FC49B4">
        <w:rPr>
          <w:rFonts w:cs="Times New Roman"/>
          <w:sz w:val="18"/>
          <w:szCs w:val="18"/>
          <w:vertAlign w:val="superscript"/>
          <w:lang w:val="ms-MY"/>
        </w:rPr>
        <w:t xml:space="preserve">2 </w:t>
      </w:r>
      <w:r w:rsidRPr="00FC49B4">
        <w:rPr>
          <w:rFonts w:cs="Times New Roman"/>
          <w:sz w:val="18"/>
          <w:szCs w:val="18"/>
          <w:lang w:val="ms-MY"/>
        </w:rPr>
        <w:t>= 0.999) di atas kepek</w:t>
      </w:r>
      <w:r w:rsidR="005415AA" w:rsidRPr="00FC49B4">
        <w:rPr>
          <w:rFonts w:cs="Times New Roman"/>
          <w:sz w:val="18"/>
          <w:szCs w:val="18"/>
          <w:lang w:val="ms-MY"/>
        </w:rPr>
        <w:t>atan antara 62.5 hingga 1000 μg/</w:t>
      </w:r>
      <w:r w:rsidRPr="00FC49B4">
        <w:rPr>
          <w:rFonts w:cs="Times New Roman"/>
          <w:sz w:val="18"/>
          <w:szCs w:val="18"/>
          <w:lang w:val="ms-MY"/>
        </w:rPr>
        <w:t>mL dengan had pengesanan</w:t>
      </w:r>
      <w:r w:rsidR="005415AA" w:rsidRPr="00FC49B4">
        <w:rPr>
          <w:rFonts w:cs="Times New Roman"/>
          <w:sz w:val="18"/>
          <w:szCs w:val="18"/>
          <w:lang w:val="ms-MY"/>
        </w:rPr>
        <w:t xml:space="preserve"> (LOD) iaitu </w:t>
      </w:r>
      <w:r w:rsidR="008C6FEF" w:rsidRPr="00FC49B4">
        <w:rPr>
          <w:rFonts w:cs="Times New Roman"/>
          <w:sz w:val="18"/>
          <w:szCs w:val="18"/>
          <w:lang w:val="ms-MY"/>
        </w:rPr>
        <w:t>9.88</w:t>
      </w:r>
      <w:r w:rsidR="005415AA" w:rsidRPr="00FC49B4">
        <w:rPr>
          <w:rFonts w:cs="Times New Roman"/>
          <w:sz w:val="18"/>
          <w:szCs w:val="18"/>
          <w:lang w:val="ms-MY"/>
        </w:rPr>
        <w:t xml:space="preserve"> μg/</w:t>
      </w:r>
      <w:r w:rsidRPr="00FC49B4">
        <w:rPr>
          <w:rFonts w:cs="Times New Roman"/>
          <w:sz w:val="18"/>
          <w:szCs w:val="18"/>
          <w:lang w:val="ms-MY"/>
        </w:rPr>
        <w:t>mL dan ha</w:t>
      </w:r>
      <w:r w:rsidR="005415AA" w:rsidRPr="00FC49B4">
        <w:rPr>
          <w:rFonts w:cs="Times New Roman"/>
          <w:sz w:val="18"/>
          <w:szCs w:val="18"/>
          <w:lang w:val="ms-MY"/>
        </w:rPr>
        <w:t xml:space="preserve">d kuantifikasi (LOQ) sebanyak </w:t>
      </w:r>
      <w:r w:rsidR="008C6FEF" w:rsidRPr="00FC49B4">
        <w:rPr>
          <w:rFonts w:cs="Times New Roman"/>
          <w:sz w:val="18"/>
          <w:szCs w:val="18"/>
          <w:lang w:val="ms-MY"/>
        </w:rPr>
        <w:t>29.93</w:t>
      </w:r>
      <w:r w:rsidR="005415AA" w:rsidRPr="00FC49B4">
        <w:rPr>
          <w:rFonts w:cs="Times New Roman"/>
          <w:sz w:val="18"/>
          <w:szCs w:val="18"/>
          <w:lang w:val="ms-MY"/>
        </w:rPr>
        <w:t xml:space="preserve"> μg/</w:t>
      </w:r>
      <w:r w:rsidRPr="00FC49B4">
        <w:rPr>
          <w:rFonts w:cs="Times New Roman"/>
          <w:sz w:val="18"/>
          <w:szCs w:val="18"/>
          <w:lang w:val="ms-MY"/>
        </w:rPr>
        <w:t xml:space="preserve">mL. Peratusan </w:t>
      </w:r>
      <w:r w:rsidR="00FC49B4">
        <w:rPr>
          <w:rFonts w:cs="Times New Roman"/>
          <w:sz w:val="18"/>
          <w:szCs w:val="18"/>
          <w:lang w:val="ms-MY"/>
        </w:rPr>
        <w:t xml:space="preserve">sisihan </w:t>
      </w:r>
      <w:r w:rsidRPr="00FC49B4">
        <w:rPr>
          <w:rFonts w:cs="Times New Roman"/>
          <w:sz w:val="18"/>
          <w:szCs w:val="18"/>
          <w:lang w:val="ms-MY"/>
        </w:rPr>
        <w:t xml:space="preserve">piawai relatif </w:t>
      </w:r>
      <w:r w:rsidR="005415AA" w:rsidRPr="00FC49B4">
        <w:rPr>
          <w:rFonts w:cs="Times New Roman"/>
          <w:sz w:val="18"/>
          <w:szCs w:val="18"/>
          <w:lang w:val="ms-MY"/>
        </w:rPr>
        <w:t xml:space="preserve"> untuk kedua-dua kepersisan intra dan inter-</w:t>
      </w:r>
      <w:r w:rsidRPr="00FC49B4">
        <w:rPr>
          <w:rFonts w:cs="Times New Roman"/>
          <w:sz w:val="18"/>
          <w:szCs w:val="18"/>
          <w:lang w:val="ms-MY"/>
        </w:rPr>
        <w:t xml:space="preserve">hari adalah kurang daripada </w:t>
      </w:r>
      <w:r w:rsidR="005415AA" w:rsidRPr="00FC49B4">
        <w:rPr>
          <w:rFonts w:cs="Times New Roman"/>
          <w:sz w:val="18"/>
          <w:szCs w:val="18"/>
          <w:lang w:val="ms-MY"/>
        </w:rPr>
        <w:t>2%, manakala purata kejituan</w:t>
      </w:r>
      <w:r w:rsidRPr="00FC49B4">
        <w:rPr>
          <w:rFonts w:cs="Times New Roman"/>
          <w:sz w:val="18"/>
          <w:szCs w:val="18"/>
          <w:lang w:val="ms-MY"/>
        </w:rPr>
        <w:t xml:space="preserve"> adalah lebih daripada 90%, menu</w:t>
      </w:r>
      <w:r w:rsidR="005415AA" w:rsidRPr="00FC49B4">
        <w:rPr>
          <w:rFonts w:cs="Times New Roman"/>
          <w:sz w:val="18"/>
          <w:szCs w:val="18"/>
          <w:lang w:val="ms-MY"/>
        </w:rPr>
        <w:t>njukk</w:t>
      </w:r>
      <w:r w:rsidR="002D07D7" w:rsidRPr="00FC49B4">
        <w:rPr>
          <w:rFonts w:cs="Times New Roman"/>
          <w:sz w:val="18"/>
          <w:szCs w:val="18"/>
          <w:lang w:val="ms-MY"/>
        </w:rPr>
        <w:t>an</w:t>
      </w:r>
      <w:r w:rsidR="005415AA" w:rsidRPr="00FC49B4">
        <w:rPr>
          <w:rFonts w:cs="Times New Roman"/>
          <w:sz w:val="18"/>
          <w:szCs w:val="18"/>
          <w:lang w:val="ms-MY"/>
        </w:rPr>
        <w:t xml:space="preserve"> kepersisan</w:t>
      </w:r>
      <w:r w:rsidRPr="00FC49B4">
        <w:rPr>
          <w:rFonts w:cs="Times New Roman"/>
          <w:sz w:val="18"/>
          <w:szCs w:val="18"/>
          <w:lang w:val="ms-MY"/>
        </w:rPr>
        <w:t xml:space="preserve"> dan ketepatan kajian. Kaedah </w:t>
      </w:r>
      <w:r w:rsidR="00FC49B4">
        <w:rPr>
          <w:rFonts w:cs="Times New Roman"/>
          <w:sz w:val="18"/>
          <w:szCs w:val="18"/>
          <w:lang w:val="ms-MY"/>
        </w:rPr>
        <w:t>KCPT</w:t>
      </w:r>
      <w:r w:rsidRPr="00FC49B4">
        <w:rPr>
          <w:rFonts w:cs="Times New Roman"/>
          <w:sz w:val="18"/>
          <w:szCs w:val="18"/>
          <w:lang w:val="ms-MY"/>
        </w:rPr>
        <w:t xml:space="preserve"> yang dibangunkan terb</w:t>
      </w:r>
      <w:r w:rsidR="005415AA" w:rsidRPr="00FC49B4">
        <w:rPr>
          <w:rFonts w:cs="Times New Roman"/>
          <w:sz w:val="18"/>
          <w:szCs w:val="18"/>
          <w:lang w:val="ms-MY"/>
        </w:rPr>
        <w:t>ukti sesuai dan boleh digunakan</w:t>
      </w:r>
      <w:r w:rsidRPr="00FC49B4">
        <w:rPr>
          <w:rFonts w:cs="Times New Roman"/>
          <w:sz w:val="18"/>
          <w:szCs w:val="18"/>
          <w:lang w:val="ms-MY"/>
        </w:rPr>
        <w:t xml:space="preserve"> </w:t>
      </w:r>
      <w:r w:rsidR="005415AA" w:rsidRPr="00FC49B4">
        <w:rPr>
          <w:rFonts w:cs="Times New Roman"/>
          <w:sz w:val="18"/>
          <w:szCs w:val="18"/>
          <w:lang w:val="ms-MY"/>
        </w:rPr>
        <w:t>untuk aplikasi yang dirancangkan.</w:t>
      </w:r>
    </w:p>
    <w:p w14:paraId="27F283F9" w14:textId="77777777" w:rsidR="00413F72" w:rsidRPr="00FC49B4" w:rsidRDefault="00413F72" w:rsidP="00785CA6">
      <w:pPr>
        <w:outlineLvl w:val="0"/>
        <w:rPr>
          <w:rFonts w:cs="Times New Roman"/>
          <w:sz w:val="18"/>
          <w:szCs w:val="18"/>
          <w:lang w:val="ms-MY"/>
        </w:rPr>
      </w:pPr>
    </w:p>
    <w:p w14:paraId="137F545A" w14:textId="702C66D0" w:rsidR="003F3701" w:rsidRDefault="00785CA6" w:rsidP="00FC49B4">
      <w:pPr>
        <w:outlineLvl w:val="0"/>
        <w:rPr>
          <w:rFonts w:cs="Times New Roman"/>
          <w:color w:val="548DD4" w:themeColor="text2" w:themeTint="99"/>
          <w:kern w:val="0"/>
          <w:sz w:val="18"/>
          <w:szCs w:val="18"/>
          <w:lang w:val="ms-MY"/>
        </w:rPr>
      </w:pPr>
      <w:r w:rsidRPr="00FC49B4">
        <w:rPr>
          <w:rFonts w:cs="Times New Roman"/>
          <w:b/>
          <w:sz w:val="18"/>
          <w:szCs w:val="18"/>
          <w:lang w:val="ms-MY"/>
        </w:rPr>
        <w:t>Kata kunci:</w:t>
      </w:r>
      <w:r w:rsidRPr="00FC49B4">
        <w:rPr>
          <w:rFonts w:cs="Times New Roman"/>
          <w:b/>
          <w:lang w:val="ms-MY"/>
        </w:rPr>
        <w:t xml:space="preserve"> </w:t>
      </w:r>
      <w:r w:rsidR="00866412" w:rsidRPr="00FC49B4">
        <w:rPr>
          <w:rFonts w:cs="Times New Roman"/>
          <w:lang w:val="ms-MY"/>
        </w:rPr>
        <w:t>aerosol,</w:t>
      </w:r>
      <w:r w:rsidR="00866412" w:rsidRPr="00FC49B4">
        <w:rPr>
          <w:rFonts w:cs="Times New Roman"/>
          <w:sz w:val="18"/>
          <w:szCs w:val="18"/>
          <w:lang w:val="ms-MY"/>
        </w:rPr>
        <w:t xml:space="preserve"> docetaxel,</w:t>
      </w:r>
      <w:r w:rsidR="00866412" w:rsidRPr="00FC49B4">
        <w:rPr>
          <w:rFonts w:cs="Times New Roman"/>
          <w:b/>
          <w:lang w:val="ms-MY"/>
        </w:rPr>
        <w:t xml:space="preserve"> </w:t>
      </w:r>
      <w:r w:rsidR="00866412" w:rsidRPr="00FC49B4">
        <w:rPr>
          <w:rFonts w:cs="Times New Roman"/>
          <w:sz w:val="18"/>
          <w:szCs w:val="18"/>
          <w:lang w:val="ms-MY"/>
        </w:rPr>
        <w:t xml:space="preserve">kromatografi cecair prestasi tinggi, </w:t>
      </w:r>
      <w:r w:rsidR="00E4533F" w:rsidRPr="00FC49B4">
        <w:rPr>
          <w:rFonts w:cs="Times New Roman"/>
          <w:sz w:val="18"/>
          <w:szCs w:val="18"/>
          <w:lang w:val="ms-MY"/>
        </w:rPr>
        <w:t xml:space="preserve">nanoemulsi, </w:t>
      </w:r>
      <w:r w:rsidR="00413F72" w:rsidRPr="00FC49B4">
        <w:rPr>
          <w:rFonts w:cs="Times New Roman"/>
          <w:sz w:val="18"/>
          <w:szCs w:val="18"/>
          <w:lang w:val="ms-MY"/>
        </w:rPr>
        <w:t>kanser paru-p</w:t>
      </w:r>
      <w:r w:rsidR="00E4533F" w:rsidRPr="00FC49B4">
        <w:rPr>
          <w:rFonts w:cs="Times New Roman"/>
          <w:sz w:val="18"/>
          <w:szCs w:val="18"/>
          <w:lang w:val="ms-MY"/>
        </w:rPr>
        <w:t>aru</w:t>
      </w:r>
    </w:p>
    <w:p w14:paraId="72711ABE" w14:textId="77777777" w:rsidR="00FC49B4" w:rsidRPr="00FC49B4" w:rsidRDefault="00FC49B4" w:rsidP="00FC49B4">
      <w:pPr>
        <w:outlineLvl w:val="0"/>
        <w:rPr>
          <w:rFonts w:cs="Times New Roman"/>
          <w:color w:val="548DD4" w:themeColor="text2" w:themeTint="99"/>
          <w:kern w:val="0"/>
          <w:sz w:val="18"/>
          <w:szCs w:val="18"/>
          <w:lang w:val="ms-MY"/>
        </w:rPr>
      </w:pPr>
    </w:p>
    <w:p w14:paraId="16D3CF4C" w14:textId="77777777" w:rsidR="00E570AF" w:rsidRPr="00AC304C" w:rsidRDefault="00785CA6" w:rsidP="00F35D85">
      <w:pPr>
        <w:jc w:val="center"/>
        <w:outlineLvl w:val="0"/>
        <w:rPr>
          <w:rFonts w:cs="Times New Roman"/>
          <w:b/>
        </w:rPr>
      </w:pPr>
      <w:r w:rsidRPr="00E570AF">
        <w:rPr>
          <w:rFonts w:cs="Times New Roman"/>
          <w:b/>
        </w:rPr>
        <w:t>Introduction</w:t>
      </w:r>
    </w:p>
    <w:p w14:paraId="56C45ED7" w14:textId="5FC03CF9" w:rsidR="00BF320B" w:rsidRDefault="004F7ACD" w:rsidP="00FC6083">
      <w:pPr>
        <w:outlineLvl w:val="0"/>
        <w:rPr>
          <w:rFonts w:cs="Times New Roman"/>
          <w:szCs w:val="20"/>
        </w:rPr>
      </w:pPr>
      <w:r w:rsidRPr="004F7ACD">
        <w:rPr>
          <w:rFonts w:cs="Times New Roman"/>
          <w:szCs w:val="20"/>
        </w:rPr>
        <w:t>Docetaxel (DTX)</w:t>
      </w:r>
      <w:r>
        <w:rPr>
          <w:rFonts w:cs="Times New Roman"/>
          <w:szCs w:val="20"/>
        </w:rPr>
        <w:t xml:space="preserve"> is </w:t>
      </w:r>
      <w:r w:rsidR="003E66A2">
        <w:rPr>
          <w:rFonts w:cs="Times New Roman"/>
          <w:szCs w:val="20"/>
        </w:rPr>
        <w:t>a</w:t>
      </w:r>
      <w:r>
        <w:rPr>
          <w:rFonts w:cs="Times New Roman"/>
          <w:szCs w:val="20"/>
        </w:rPr>
        <w:t xml:space="preserve"> chemotherapeutic drug </w:t>
      </w:r>
      <w:r w:rsidR="003E66A2">
        <w:rPr>
          <w:rFonts w:cs="Times New Roman"/>
          <w:szCs w:val="20"/>
        </w:rPr>
        <w:t>derived</w:t>
      </w:r>
      <w:r>
        <w:rPr>
          <w:rFonts w:cs="Times New Roman"/>
          <w:szCs w:val="20"/>
        </w:rPr>
        <w:t xml:space="preserve"> from </w:t>
      </w:r>
      <w:r w:rsidR="003E66A2">
        <w:rPr>
          <w:rFonts w:cs="Times New Roman"/>
          <w:szCs w:val="20"/>
        </w:rPr>
        <w:t xml:space="preserve">a natural inactive precursor of </w:t>
      </w:r>
      <w:r>
        <w:rPr>
          <w:rFonts w:cs="Times New Roman"/>
          <w:szCs w:val="20"/>
        </w:rPr>
        <w:t>10-deacetyl baccatin III, extracted from the Yew plant</w:t>
      </w:r>
      <w:r w:rsidR="00A03729">
        <w:rPr>
          <w:rFonts w:cs="Times New Roman"/>
          <w:szCs w:val="20"/>
        </w:rPr>
        <w:t xml:space="preserve"> (Taxus genus)</w:t>
      </w:r>
      <w:r>
        <w:rPr>
          <w:rFonts w:cs="Times New Roman"/>
          <w:szCs w:val="20"/>
        </w:rPr>
        <w:t>.</w:t>
      </w:r>
      <w:r w:rsidR="003E66A2">
        <w:rPr>
          <w:rFonts w:cs="Times New Roman"/>
          <w:szCs w:val="20"/>
        </w:rPr>
        <w:t xml:space="preserve"> </w:t>
      </w:r>
      <w:r w:rsidR="003E66A2" w:rsidRPr="00E4188E">
        <w:rPr>
          <w:rFonts w:cs="Times New Roman"/>
          <w:szCs w:val="20"/>
        </w:rPr>
        <w:t xml:space="preserve">DTX is approved by the Food and Drug Administration (FDA) for the treatment of </w:t>
      </w:r>
      <w:r w:rsidR="004E4671" w:rsidRPr="00E4188E">
        <w:rPr>
          <w:rFonts w:cs="Times New Roman"/>
          <w:szCs w:val="20"/>
        </w:rPr>
        <w:t>non-small-cell lung cancer (NSCLC)</w:t>
      </w:r>
      <w:r w:rsidR="00E4188E">
        <w:rPr>
          <w:rFonts w:cs="Times New Roman"/>
          <w:szCs w:val="20"/>
        </w:rPr>
        <w:t xml:space="preserve"> </w:t>
      </w:r>
      <w:r w:rsidR="00A03729">
        <w:rPr>
          <w:rFonts w:cs="Times New Roman"/>
          <w:szCs w:val="20"/>
        </w:rPr>
        <w:t>as</w:t>
      </w:r>
      <w:r w:rsidR="003D3980">
        <w:rPr>
          <w:rFonts w:cs="Times New Roman"/>
          <w:szCs w:val="20"/>
        </w:rPr>
        <w:t xml:space="preserve"> a</w:t>
      </w:r>
      <w:r w:rsidR="00A03729">
        <w:rPr>
          <w:rFonts w:cs="Times New Roman"/>
          <w:szCs w:val="20"/>
        </w:rPr>
        <w:t xml:space="preserve"> </w:t>
      </w:r>
      <w:r w:rsidR="00E4188E">
        <w:rPr>
          <w:rFonts w:cs="Times New Roman"/>
          <w:szCs w:val="20"/>
        </w:rPr>
        <w:t>mitosis</w:t>
      </w:r>
      <w:r w:rsidR="00A03729">
        <w:rPr>
          <w:rFonts w:cs="Times New Roman"/>
          <w:szCs w:val="20"/>
        </w:rPr>
        <w:t xml:space="preserve"> inhibitor</w:t>
      </w:r>
      <w:r w:rsidR="00E4188E">
        <w:rPr>
          <w:rFonts w:cs="Times New Roman"/>
          <w:szCs w:val="20"/>
        </w:rPr>
        <w:t xml:space="preserve"> in cell division </w:t>
      </w:r>
      <w:r w:rsidR="00E4188E" w:rsidRPr="00FC49B4">
        <w:rPr>
          <w:rFonts w:cs="Times New Roman"/>
          <w:i/>
          <w:iCs/>
          <w:szCs w:val="20"/>
        </w:rPr>
        <w:t>via</w:t>
      </w:r>
      <w:r w:rsidR="00E4188E">
        <w:rPr>
          <w:rFonts w:cs="Times New Roman"/>
          <w:szCs w:val="20"/>
        </w:rPr>
        <w:t xml:space="preserve"> stabilization of the polymerization and de-polymerization </w:t>
      </w:r>
      <w:r w:rsidR="00E4188E" w:rsidRPr="00194541">
        <w:rPr>
          <w:rFonts w:cs="Times New Roman"/>
          <w:szCs w:val="20"/>
        </w:rPr>
        <w:t>of microtubules</w:t>
      </w:r>
      <w:r w:rsidR="00E570AF">
        <w:rPr>
          <w:rFonts w:cs="Times New Roman"/>
          <w:szCs w:val="20"/>
        </w:rPr>
        <w:t xml:space="preserve"> </w:t>
      </w:r>
      <w:r w:rsidR="00E570AF">
        <w:rPr>
          <w:rFonts w:cs="Times New Roman"/>
          <w:szCs w:val="20"/>
        </w:rPr>
        <w:fldChar w:fldCharType="begin" w:fldLock="1"/>
      </w:r>
      <w:r w:rsidR="006372CC">
        <w:rPr>
          <w:rFonts w:cs="Times New Roman"/>
          <w:szCs w:val="20"/>
        </w:rPr>
        <w:instrText>ADDIN CSL_CITATION {"citationItems":[{"id":"ITEM-1","itemData":{"ISSN":"1179-2728","PMID":"28210107","abstract":"Docetaxel, a semisynthetic taxane, was the first agent to show efficacy in the second-line treatment of non-small cell lung cancer (NSCLC), and has since become a mainstay of NSCLC therapy. We review its mode of action, pharmacology, toxicity and efficacy and describe both its established role in the treatment of NSCLC and future directions in research. Docetaxel works primarily by promoting microtubule assembly and polymerization, and through this hyperstabilization, causes cell cycle arrest and death. The primary toxicity of docetaxel is neutropenia, which can be mitigated by weekly administration in selected patients. Less common toxicities are peripheral edema, which can be reduced by appropriate premedication and interstitial pneumonitis. Hypersensitivity reactions are less frequent than with paclitaxel. Docetaxel has shown a survival and quality of life advantage as a single agent first- and second-line versus placebo, as well as first-line in a platinum-based doublet therapy compared to a single agent. Increasingly docetaxel has also been used effectively in adjuvant regimens in earlier stages of the disease. Future areas of research include combinations with novel targeted therapies, and a greater understanding of biomarkers that might help predict efficacy and personalize therapy.","author":[{"dropping-particle":"","family":"Gubens","given":"Matthew A","non-dropping-particle":"","parse-names":false,"suffix":""},{"dropping-particle":"","family":"Wakelee","given":"Heather A","non-dropping-particle":"","parse-names":false,"suffix":""}],"container-title":"Lung Cancer (Auckland, N.Z.)","id":"ITEM-1","issued":{"date-parts":[["2010"]]},"page":"63-76","title":"Docetaxel in the treatment of non-small cell lung carcinoma: an update and analysis.","type":"article-journal","volume":"1"},"uris":["http://www.mendeley.com/documents/?uuid=34dd2338-c610-3245-980d-6adf10b85df9"]},{"id":"ITEM-2","itemData":{"DOI":"10.3109/08982104.2014.961022","ISSN":"0898-2104","abstract":"AbstractThe objective of the present study was to prepare a micellar polymeric carrier for the delivery of Docetaxel (DTX) as a kind of polysorbate free preparation. Pluronic F127 (PF127) was conjugated to cholesterol (Chol) via succinyl linkage and characterized by FTIR and HNMR. DTX-loaded polymeric micelles were prepared via film hydration method. Physicochemical properties of micelles including particle size, zeta potential, drug loading and release efficiency were studied. The critical micelle concentration (CMC) was determined using pyrene as a hydrophobic fluorescent probe. In vitro cytotoxicity of micelles was evaluated in B16F10 melanoma cells and HepG2 cell line. The FTIR and HNMR spectroscopy methods confirmed the conjugation of PF127 to cholesterol via succinyl linkage. The micelles were spherical under scanning electron microscope (SEM) with the mean particle size of 248.2 ± 8–278.8 ± 12.3 nm and zeta potential ranging from −17.2 ± 8.7 to −28.4 ± 12.7 mV. Drug loading efficiency was higher th...","author":[{"dropping-particle":"","family":"Varshosaz","given":"Jaleh","non-dropping-particle":"","parse-names":false,"suffix":""},{"dropping-particle":"","family":"Taymouri","given":"Somayeh","non-dropping-particle":"","parse-names":false,"suffix":""},{"dropping-particle":"","family":"Hassanzadeh","given":"Farshid","non-dropping-particle":"","parse-names":false,"suffix":""},{"dropping-particle":"","family":"Javanmard","given":"Shaghaiegh Haghjooy","non-dropping-particle":"","parse-names":false,"suffix":""},{"dropping-particle":"","family":"Rostami","given":"Mahboobeh","non-dropping-particle":"","parse-names":false,"suffix":""}],"container-title":"Journal of Liposome Research","id":"ITEM-2","issue":"2","issued":{"date-parts":[["2015","4","3"]]},"page":"157-165","publisher":"Informa Healthcare","title":"Self-assembly micelles with lipid core of cholesterol for docetaxel delivery to B16F10 melanoma and HepG2 cells","type":"article-journal","volume":"25"},"uris":["http://www.mendeley.com/documents/?uuid=35901bca-12e7-375f-85e6-525cc8e53774"]}],"mendeley":{"formattedCitation":"[1,2]","plainTextFormattedCitation":"[1,2]","previouslyFormattedCitation":"(Gubens and Wakelee 2010; Varshosaz et al. 2015)"},"properties":{"noteIndex":0},"schema":"https://github.com/citation-style-language/schema/raw/master/csl-citation.json"}</w:instrText>
      </w:r>
      <w:r w:rsidR="00E570AF">
        <w:rPr>
          <w:rFonts w:cs="Times New Roman"/>
          <w:szCs w:val="20"/>
        </w:rPr>
        <w:fldChar w:fldCharType="separate"/>
      </w:r>
      <w:r w:rsidR="006372CC" w:rsidRPr="006372CC">
        <w:rPr>
          <w:rFonts w:cs="Times New Roman"/>
          <w:noProof/>
          <w:szCs w:val="20"/>
        </w:rPr>
        <w:t>[1,</w:t>
      </w:r>
      <w:r w:rsidR="00FC49B4">
        <w:rPr>
          <w:rFonts w:cs="Times New Roman"/>
          <w:noProof/>
          <w:szCs w:val="20"/>
        </w:rPr>
        <w:t xml:space="preserve"> </w:t>
      </w:r>
      <w:r w:rsidR="006372CC" w:rsidRPr="006372CC">
        <w:rPr>
          <w:rFonts w:cs="Times New Roman"/>
          <w:noProof/>
          <w:szCs w:val="20"/>
        </w:rPr>
        <w:t>2]</w:t>
      </w:r>
      <w:r w:rsidR="00E570AF">
        <w:rPr>
          <w:rFonts w:cs="Times New Roman"/>
          <w:szCs w:val="20"/>
        </w:rPr>
        <w:fldChar w:fldCharType="end"/>
      </w:r>
      <w:r w:rsidR="004E4671" w:rsidRPr="00194541">
        <w:rPr>
          <w:rFonts w:cs="Times New Roman"/>
          <w:szCs w:val="20"/>
        </w:rPr>
        <w:t>.</w:t>
      </w:r>
      <w:r w:rsidR="00E4188E" w:rsidRPr="00194541">
        <w:rPr>
          <w:rFonts w:cs="Times New Roman"/>
          <w:szCs w:val="20"/>
        </w:rPr>
        <w:t xml:space="preserve"> However, </w:t>
      </w:r>
      <w:r w:rsidR="00BF320B" w:rsidRPr="00194541">
        <w:rPr>
          <w:rFonts w:cs="Times New Roman"/>
          <w:szCs w:val="20"/>
        </w:rPr>
        <w:t xml:space="preserve">poor water </w:t>
      </w:r>
      <w:r w:rsidR="00BF320B" w:rsidRPr="00BF320B">
        <w:rPr>
          <w:rFonts w:cs="Times New Roman"/>
          <w:szCs w:val="20"/>
        </w:rPr>
        <w:t xml:space="preserve">solubility, low stability and </w:t>
      </w:r>
      <w:r w:rsidR="00857065">
        <w:rPr>
          <w:rFonts w:cs="Times New Roman"/>
          <w:szCs w:val="20"/>
        </w:rPr>
        <w:t xml:space="preserve">high </w:t>
      </w:r>
      <w:r w:rsidR="00BF320B">
        <w:rPr>
          <w:rFonts w:cs="Times New Roman"/>
          <w:szCs w:val="20"/>
        </w:rPr>
        <w:t>toxicity of DTX has reduced its therapeutic index in combating the disease</w:t>
      </w:r>
      <w:r w:rsidR="00E570AF">
        <w:rPr>
          <w:rFonts w:cs="Times New Roman"/>
          <w:szCs w:val="20"/>
        </w:rPr>
        <w:t xml:space="preserve"> </w:t>
      </w:r>
      <w:r w:rsidR="00E570AF">
        <w:rPr>
          <w:rFonts w:cs="Times New Roman"/>
          <w:szCs w:val="20"/>
        </w:rPr>
        <w:fldChar w:fldCharType="begin" w:fldLock="1"/>
      </w:r>
      <w:r w:rsidR="006372CC">
        <w:rPr>
          <w:rFonts w:cs="Times New Roman"/>
          <w:szCs w:val="20"/>
        </w:rPr>
        <w:instrText>ADDIN CSL_CITATION {"citationItems":[{"id":"ITEM-1","itemData":{"DOI":"10.1038/srep36957","ISSN":"2045-2322","abstract":"A simple method to improve the stability of docetaxel micelles","author":[{"dropping-particle":"","family":"Zhang","given":"Lan","non-dropping-particle":"","parse-names":false,"suffix":""},{"dropping-particle":"","family":"Tan","given":"LiWei","non-dropping-particle":"","parse-names":false,"suffix":""},{"dropping-particle":"","family":"Chen","given":"LiJuan","non-dropping-particle":"","parse-names":false,"suffix":""},{"dropping-particle":"","family":"Chen","given":"XiaoXin","non-dropping-particle":"","parse-names":false,"suffix":""},{"dropping-particle":"","family":"Long","given":"ChaoFeng","non-dropping-particle":"","parse-names":false,"suffix":""},{"dropping-particle":"","family":"Peng","given":"JinRong","non-dropping-particle":"","parse-names":false,"suffix":""},{"dropping-particle":"","family":"Qian","given":"ZhiYong","non-dropping-particle":"","parse-names":false,"suffix":""}],"container-title":"Scientific Reports","id":"ITEM-1","issue":"1","issued":{"date-parts":[["2016","12","11"]]},"page":"36957","publisher":"Nature Publishing Group","title":"A simple method to improve the stability of docetaxel micelles","type":"article-journal","volume":"6"},"uris":["http://www.mendeley.com/documents/?uuid=a065f9e3-a66e-3a34-b704-283434f228ea"]},{"id":"ITEM-2","itemData":{"DOI":"10.3390/ijms12031684","author":[{"dropping-particle":"","family":"Liu","given":"Zhihong","non-dropping-particle":"","parse-names":false,"suffix":""},{"dropping-particle":"","family":"Liu","given":"Donghua","non-dropping-particle":"","parse-names":false,"suffix":""},{"dropping-particle":"","family":"Wang","given":"Lili","non-dropping-particle":"","parse-names":false,"suffix":""},{"dropping-particle":"","family":"Zhang","given":"Juan","non-dropping-particle":"","parse-names":false,"suffix":""},{"dropping-particle":"","family":"Zhang","given":"Na","non-dropping-particle":"","parse-names":false,"suffix":""}],"id":"ITEM-2","issued":{"date-parts":[["2011"]]},"page":"1684-1696","title":"Docetaxel-Loaded Pluronic P123 Polymeric Micelles : in Vitro and in Vivo Evaluation","type":"article-journal","volume":"2"},"uris":["http://www.mendeley.com/documents/?uuid=e80026a5-ec39-4795-9433-3bd161b27309"]}],"mendeley":{"formattedCitation":"[3,4]","plainTextFormattedCitation":"[3,4]","previouslyFormattedCitation":"(Liu et al. 2011; Zhang et al. 2016)"},"properties":{"noteIndex":0},"schema":"https://github.com/citation-style-language/schema/raw/master/csl-citation.json"}</w:instrText>
      </w:r>
      <w:r w:rsidR="00E570AF">
        <w:rPr>
          <w:rFonts w:cs="Times New Roman"/>
          <w:szCs w:val="20"/>
        </w:rPr>
        <w:fldChar w:fldCharType="separate"/>
      </w:r>
      <w:r w:rsidR="006372CC" w:rsidRPr="006372CC">
        <w:rPr>
          <w:rFonts w:cs="Times New Roman"/>
          <w:noProof/>
          <w:szCs w:val="20"/>
        </w:rPr>
        <w:t>[3,</w:t>
      </w:r>
      <w:r w:rsidR="00FC49B4">
        <w:rPr>
          <w:rFonts w:cs="Times New Roman"/>
          <w:noProof/>
          <w:szCs w:val="20"/>
        </w:rPr>
        <w:t xml:space="preserve"> </w:t>
      </w:r>
      <w:r w:rsidR="006372CC" w:rsidRPr="006372CC">
        <w:rPr>
          <w:rFonts w:cs="Times New Roman"/>
          <w:noProof/>
          <w:szCs w:val="20"/>
        </w:rPr>
        <w:t>4]</w:t>
      </w:r>
      <w:r w:rsidR="00E570AF">
        <w:rPr>
          <w:rFonts w:cs="Times New Roman"/>
          <w:szCs w:val="20"/>
        </w:rPr>
        <w:fldChar w:fldCharType="end"/>
      </w:r>
      <w:r w:rsidR="00BF320B">
        <w:rPr>
          <w:rFonts w:cs="Times New Roman"/>
          <w:szCs w:val="20"/>
        </w:rPr>
        <w:t xml:space="preserve">. </w:t>
      </w:r>
      <w:r w:rsidR="000B6BB0">
        <w:rPr>
          <w:rFonts w:cs="Times New Roman"/>
          <w:szCs w:val="20"/>
        </w:rPr>
        <w:t xml:space="preserve">Therefore, increasing the bioavailability and minimizing the side effects of DTX remain challenges in the lung cancer therapy.  </w:t>
      </w:r>
    </w:p>
    <w:p w14:paraId="46773BD7" w14:textId="77777777" w:rsidR="00FB505B" w:rsidRDefault="00FB505B" w:rsidP="00FC6083">
      <w:pPr>
        <w:outlineLvl w:val="0"/>
        <w:rPr>
          <w:rFonts w:cs="Times New Roman"/>
          <w:szCs w:val="20"/>
        </w:rPr>
      </w:pPr>
    </w:p>
    <w:p w14:paraId="673F89DC" w14:textId="77777777" w:rsidR="00F30065" w:rsidRPr="00E570AF" w:rsidRDefault="00D51FAB" w:rsidP="00E570AF">
      <w:pPr>
        <w:outlineLvl w:val="0"/>
        <w:rPr>
          <w:rFonts w:cs="Times New Roman"/>
          <w:szCs w:val="20"/>
        </w:rPr>
      </w:pPr>
      <w:r w:rsidRPr="00661EFD">
        <w:rPr>
          <w:rFonts w:cs="Times New Roman"/>
          <w:szCs w:val="20"/>
        </w:rPr>
        <w:t>Inhalation therapy of lipid-based carrier</w:t>
      </w:r>
      <w:r w:rsidR="008C47B5">
        <w:rPr>
          <w:rFonts w:cs="Times New Roman"/>
          <w:szCs w:val="20"/>
        </w:rPr>
        <w:t xml:space="preserve"> system has gained considerable attention</w:t>
      </w:r>
      <w:r w:rsidR="00857065">
        <w:rPr>
          <w:rFonts w:cs="Times New Roman"/>
          <w:szCs w:val="20"/>
        </w:rPr>
        <w:t xml:space="preserve"> for local non-invasive drug delivery. This system is a suitable alternative to deliver high local drug concentration to the</w:t>
      </w:r>
      <w:r w:rsidR="00661EFD" w:rsidRPr="00661EFD">
        <w:rPr>
          <w:rFonts w:cs="Times New Roman"/>
          <w:szCs w:val="20"/>
        </w:rPr>
        <w:t xml:space="preserve"> desired region in the lungs</w:t>
      </w:r>
      <w:r w:rsidR="00857065">
        <w:rPr>
          <w:rFonts w:cs="Times New Roman"/>
          <w:szCs w:val="20"/>
        </w:rPr>
        <w:t>, while significantly reduces the toxicity towards healthy cells</w:t>
      </w:r>
      <w:r w:rsidR="00E570AF">
        <w:rPr>
          <w:rFonts w:cs="Times New Roman"/>
          <w:szCs w:val="20"/>
        </w:rPr>
        <w:t xml:space="preserve"> </w:t>
      </w:r>
      <w:r w:rsidR="00E570AF">
        <w:rPr>
          <w:rFonts w:cs="Times New Roman"/>
          <w:szCs w:val="20"/>
        </w:rPr>
        <w:fldChar w:fldCharType="begin" w:fldLock="1"/>
      </w:r>
      <w:r w:rsidR="006372CC">
        <w:rPr>
          <w:rFonts w:cs="Times New Roman"/>
          <w:szCs w:val="20"/>
        </w:rPr>
        <w:instrText>ADDIN CSL_CITATION {"citationItems":[{"id":"ITEM-1","itemData":{"DOI":"10.3109/03639045.2013.814065","ISSN":"1520-5762 (Electronic)","PMID":"23837519","abstract":"Context: This study presents novel nanostructured oil-in-water (o/w) mists based on self- nanoemulsifying (SNE) mixtures capable of delivering poorly water-soluble drugs into the lungs. Objective: Formulation development of an o/w nanoemulsion (NE) capable of being nebulized for pulmonary delivery of poorly water-soluble drugs. Materials and methods: SNE mixtures were prepared and evaluated using Tween 80 and Cremophor RH 40 as surfactants; Transcutol P, Capryol 90 and PEG 400 as cosurfactants; and Labrafac Lipophile Wl 1349 (a medium-chain triglyceride) as an oil. Liquid NEs were analyzed by light scattering, zeta potential, transmission electron microscopy (TEM) and in vitro drug release studies. The aqueous NE was nebulized and assessed by light scattering and TEM. The formulation was aseptically filtered and the sterility validated. In vitro cytotoxicity of the formulations was tested in NIH 3T3 cells. The capability of the formulation to deliver a poorly water-soluble drug was determined using ibuprofen. Results: Ibuprofen was found to be stable in the NEs. The formulations were neutrally charged with a droplet size of about 20 nm. TEM images displayed 100nm oil droplets. The aseptic filtration method produced sterile NE. The nebulized mist revealed properties ideal for pulmonary delivery. The biocompatible aerosol has a nanostructure consisting of several oil nanodroplets enclosed within each water drop. Solubility and in vitro drug release studies showed successful incorporation and release of ibuprofen. Conclusion: The developed formulation could be used as an inhalation for delivering material possessing poor water solubility into the lungs","author":[{"dropping-particle":"","family":"Nesamony","given":"Jerry","non-dropping-particle":"","parse-names":false,"suffix":""},{"dropping-particle":"","family":"Shah","given":"Ishan S","non-dropping-particle":"","parse-names":false,"suffix":""},{"dropping-particle":"","family":"Kalra","given":"Ashish","non-dropping-particle":"","parse-names":false,"suffix":""},{"dropping-particle":"","family":"Jung","given":"Rose","non-dropping-particle":"","parse-names":false,"suffix":""}],"container-title":"Drug Development and Industrial Pharmacy","id":"ITEM-1","issue":"November","issued":{"date-parts":[["2013"]]},"page":"1-11","title":"Nebulized oil-in-water nanoemulsion mists for pulmonary delivery: development, physico-chemical characterization and in vitro evaluation","type":"article-journal","volume":"9045"},"uris":["http://www.mendeley.com/documents/?uuid=c097508b-593b-488b-b7a4-86a921963dac"]},{"id":"ITEM-2","itemData":{"DOI":"10.1016/J.IJID.2014.11.004","ISSN":"1201-9712","abstract":"OBJECTIVES\nInvasive pulmonary aspergillosis (IPA) is associated with high mortality in high-risk (immunosuppressed) patients. Many studies have investigated whether prophylactic inhalation of amphotericin B (AMB) reduces the incidence of IPA, but no definitive conclusions have been reached. The present meta-analysis was performed to evaluate the efficacy of prophylactic inhalation of AMB for the prevention of IPA. \n\nMETHODS\nMEDLINE and other databases were searched for relevant articles published until December 2013. Randomized controlled trials that compared aerosolized AMB with placebo were included. Two reviewers independently assessed and extracted the data of all trials. \n\nRESULTS\nSix animal studies and two clinical trials involving 768 high-risk patients were eligible. The animal studies showed lower overall mortality rate among animals that underwent aerosolized AMB prophylaxis (odds ratio (OR) 0.13, 95% confidence interval (CI) 0.08–0.21). Similarly, the clinical trials showed a lower incidence of IPA among patients who underwent aerosolized AMB prophylaxis (OR 0.42, 95% CI 0.22–0.79). \n\nCONCLUSIONS\nThis analysis provides evidence supporting the notion that the prophylactic use of aerosolized AMB effectively reduces the incidence of IPA among high-risk patients.","author":[{"dropping-particle":"","family":"Xia","given":"Di","non-dropping-particle":"","parse-names":false,"suffix":""},{"dropping-particle":"","family":"Sun","given":"Wen-Kui","non-dropping-particle":"","parse-names":false,"suffix":""},{"dropping-particle":"","family":"Tan","given":"Ming-Ming","non-dropping-particle":"","parse-names":false,"suffix":""},{"dropping-particle":"","family":"Zhang","given":"Ming","non-dropping-particle":"","parse-names":false,"suffix":""},{"dropping-particle":"","family":"Ding","given":"Yuan","non-dropping-particle":"","parse-names":false,"suffix":""},{"dropping-particle":"","family":"Liu","given":"Zhi-Cheng","non-dropping-particle":"","parse-names":false,"suffix":""},{"dropping-particle":"","family":"Su","given":"Xin","non-dropping-particle":"","parse-names":false,"suffix":""},{"dropping-particle":"","family":"Shi","given":"Yi","non-dropping-particle":"","parse-names":false,"suffix":""}],"container-title":"International Journal of Infectious Diseases","id":"ITEM-2","issued":{"date-parts":[["2015","1","1"]]},"page":"78-84","publisher":"Elsevier","title":"Aerosolized amphotericin B as prophylaxis for invasive pulmonary aspergillosis: a meta-analysis","type":"article-journal","volume":"30"},"uris":["http://www.mendeley.com/documents/?uuid=490d9729-68b2-33fd-8ce7-75bd10eae7f7"]},{"id":"ITEM-3","itemData":{"DOI":"10.1007/s13346-018-0550-4","ISSN":"2190-393X","author":[{"dropping-particle":"","family":"Ngan","given":"Cheng Loong","non-dropping-particle":"","parse-names":false,"suffix":""},{"dropping-particle":"","family":"Asmawi","given":"Azren Aida","non-dropping-particle":"","parse-names":false,"suffix":""}],"container-title":"Drug Delivery and Translational Research","id":"ITEM-3","issued":{"date-parts":[["2018","6","7"]]},"page":"1-18","title":"Lipid-based pulmonary delivery system: a review and future considerations of formulation strategies and limitations","type":"article-journal"},"uris":["http://www.mendeley.com/documents/?uuid=325a7df4-7780-33c0-bf54-b3dbe98feed1"]}],"mendeley":{"formattedCitation":"[5–7]","plainTextFormattedCitation":"[5–7]","previouslyFormattedCitation":"(Nesamony et al. 2013; Ngan and Asmawi 2018; Xia et al. 2015)"},"properties":{"noteIndex":0},"schema":"https://github.com/citation-style-language/schema/raw/master/csl-citation.json"}</w:instrText>
      </w:r>
      <w:r w:rsidR="00E570AF">
        <w:rPr>
          <w:rFonts w:cs="Times New Roman"/>
          <w:szCs w:val="20"/>
        </w:rPr>
        <w:fldChar w:fldCharType="separate"/>
      </w:r>
      <w:r w:rsidR="006372CC" w:rsidRPr="006372CC">
        <w:rPr>
          <w:rFonts w:cs="Times New Roman"/>
          <w:noProof/>
          <w:szCs w:val="20"/>
        </w:rPr>
        <w:t>[5–7]</w:t>
      </w:r>
      <w:r w:rsidR="00E570AF">
        <w:rPr>
          <w:rFonts w:cs="Times New Roman"/>
          <w:szCs w:val="20"/>
        </w:rPr>
        <w:fldChar w:fldCharType="end"/>
      </w:r>
      <w:r w:rsidR="00857065">
        <w:rPr>
          <w:rFonts w:cs="Times New Roman"/>
          <w:szCs w:val="20"/>
        </w:rPr>
        <w:t xml:space="preserve">. </w:t>
      </w:r>
      <w:r w:rsidRPr="00661EFD">
        <w:rPr>
          <w:rFonts w:cs="Times New Roman"/>
          <w:szCs w:val="20"/>
        </w:rPr>
        <w:t xml:space="preserve"> </w:t>
      </w:r>
      <w:r w:rsidR="00CA3788" w:rsidRPr="00661EFD">
        <w:rPr>
          <w:rFonts w:cs="Times New Roman"/>
          <w:szCs w:val="20"/>
        </w:rPr>
        <w:t>Hence</w:t>
      </w:r>
      <w:r w:rsidR="00CA3788">
        <w:rPr>
          <w:rFonts w:cs="Times New Roman"/>
          <w:szCs w:val="20"/>
        </w:rPr>
        <w:t>, r</w:t>
      </w:r>
      <w:r w:rsidR="003D3980">
        <w:rPr>
          <w:rFonts w:cs="Times New Roman"/>
          <w:szCs w:val="20"/>
        </w:rPr>
        <w:t xml:space="preserve">esearch focus has shifted to </w:t>
      </w:r>
      <w:r w:rsidR="003D3980">
        <w:rPr>
          <w:rFonts w:cs="Times New Roman"/>
          <w:szCs w:val="20"/>
        </w:rPr>
        <w:lastRenderedPageBreak/>
        <w:t xml:space="preserve">the use of </w:t>
      </w:r>
      <w:r w:rsidR="009D0D66">
        <w:rPr>
          <w:rFonts w:cs="Times New Roman"/>
          <w:szCs w:val="20"/>
        </w:rPr>
        <w:t xml:space="preserve">encapsulated DTX in </w:t>
      </w:r>
      <w:r>
        <w:rPr>
          <w:rFonts w:cs="Times New Roman"/>
          <w:szCs w:val="20"/>
        </w:rPr>
        <w:t xml:space="preserve">palm-based nanoemulsion aerosols for pulmonary drug delivery </w:t>
      </w:r>
      <w:r w:rsidR="00CA3788">
        <w:rPr>
          <w:rFonts w:cs="Times New Roman"/>
          <w:szCs w:val="20"/>
        </w:rPr>
        <w:t>to overcome the challenges.</w:t>
      </w:r>
      <w:r w:rsidR="008C47B5">
        <w:rPr>
          <w:rFonts w:cs="Times New Roman"/>
          <w:szCs w:val="20"/>
        </w:rPr>
        <w:t xml:space="preserve"> </w:t>
      </w:r>
      <w:r w:rsidR="006E5460">
        <w:rPr>
          <w:rFonts w:cs="Times New Roman"/>
          <w:szCs w:val="20"/>
        </w:rPr>
        <w:t>Investigations on aerosolization properties of the formulation using multistage cascade impactor was essential to quantitate the amount of DTX deposited</w:t>
      </w:r>
      <w:r w:rsidR="00EC5C28">
        <w:rPr>
          <w:rFonts w:cs="Times New Roman"/>
          <w:szCs w:val="20"/>
        </w:rPr>
        <w:t xml:space="preserve"> and to predict the site of deposition</w:t>
      </w:r>
      <w:r w:rsidR="006E5460">
        <w:rPr>
          <w:rFonts w:cs="Times New Roman"/>
          <w:szCs w:val="20"/>
        </w:rPr>
        <w:t xml:space="preserve"> in the lungs</w:t>
      </w:r>
      <w:r w:rsidR="00EC5C28">
        <w:rPr>
          <w:rFonts w:cs="Times New Roman"/>
          <w:szCs w:val="20"/>
        </w:rPr>
        <w:t>’ region</w:t>
      </w:r>
      <w:r w:rsidR="006E5460">
        <w:rPr>
          <w:rFonts w:cs="Times New Roman"/>
          <w:szCs w:val="20"/>
        </w:rPr>
        <w:t xml:space="preserve">. </w:t>
      </w:r>
    </w:p>
    <w:p w14:paraId="0B98A633" w14:textId="77777777" w:rsidR="00BA68E0" w:rsidRDefault="00BA68E0" w:rsidP="00E91A35"/>
    <w:p w14:paraId="7A2CADDE" w14:textId="77777777" w:rsidR="00923446" w:rsidRDefault="00AE5FD3" w:rsidP="00451867">
      <w:r>
        <w:t xml:space="preserve">In this paper, the development and validation of </w:t>
      </w:r>
      <w:r w:rsidR="009E6F1E">
        <w:t>a simple, precise and accurate</w:t>
      </w:r>
      <w:r>
        <w:t xml:space="preserve"> reversed-phase high performance liquid chromatography-ultra violet (RP-HPLC-UV) analytical method to detect DTX in palm-based nanoemulsion aerosols was investigated.</w:t>
      </w:r>
      <w:r w:rsidR="006927DB">
        <w:t xml:space="preserve"> The validation method was accomplished according to the International Conference on Harmonisation (ICH)</w:t>
      </w:r>
      <w:r w:rsidR="00EC5C28">
        <w:t xml:space="preserve"> Q2 (R1)</w:t>
      </w:r>
      <w:r w:rsidR="006927DB">
        <w:t xml:space="preserve"> guidelines</w:t>
      </w:r>
      <w:r w:rsidR="009E6F1E">
        <w:t>.</w:t>
      </w:r>
      <w:r w:rsidR="00EC5C28">
        <w:t xml:space="preserve"> Additionally, the method can be used for quantification of DTX in other type of nanoparticles.</w:t>
      </w:r>
    </w:p>
    <w:p w14:paraId="1F171875" w14:textId="77777777" w:rsidR="00451867" w:rsidRPr="00451867" w:rsidRDefault="00451867" w:rsidP="00451867">
      <w:pPr>
        <w:spacing w:after="120"/>
      </w:pPr>
    </w:p>
    <w:p w14:paraId="54120F41" w14:textId="77777777" w:rsidR="00E570AF" w:rsidRDefault="00DE73D6" w:rsidP="00F35D85">
      <w:pPr>
        <w:jc w:val="center"/>
        <w:outlineLvl w:val="0"/>
        <w:rPr>
          <w:rFonts w:cs="Times New Roman"/>
          <w:b/>
          <w:szCs w:val="20"/>
        </w:rPr>
      </w:pPr>
      <w:r w:rsidRPr="008B12D9">
        <w:rPr>
          <w:rFonts w:cs="Times New Roman"/>
          <w:b/>
          <w:szCs w:val="20"/>
        </w:rPr>
        <w:t>Materials and Methods</w:t>
      </w:r>
    </w:p>
    <w:p w14:paraId="53E006C8" w14:textId="77777777" w:rsidR="00785CA6" w:rsidRDefault="000C0172" w:rsidP="000C0172">
      <w:pPr>
        <w:jc w:val="left"/>
        <w:outlineLvl w:val="0"/>
        <w:rPr>
          <w:rFonts w:cs="Times New Roman"/>
          <w:b/>
        </w:rPr>
      </w:pPr>
      <w:r>
        <w:rPr>
          <w:rFonts w:cs="Times New Roman"/>
          <w:b/>
        </w:rPr>
        <w:t>Materials</w:t>
      </w:r>
    </w:p>
    <w:p w14:paraId="5470FC26" w14:textId="77777777" w:rsidR="008626DE" w:rsidRPr="00E5757B" w:rsidRDefault="00762DF2" w:rsidP="00762DF2">
      <w:pPr>
        <w:outlineLvl w:val="0"/>
        <w:rPr>
          <w:rFonts w:cs="Times New Roman"/>
          <w:szCs w:val="20"/>
        </w:rPr>
      </w:pPr>
      <w:r w:rsidRPr="00762DF2">
        <w:rPr>
          <w:rFonts w:cs="Times New Roman"/>
        </w:rPr>
        <w:t xml:space="preserve">Docetaxel (DTX) (98% purity) and trifluoroacetic acid (99% extra purity) were purchased from Acros Organics, UK. Lecithin Lipoid S75 was purchased from Lipoid </w:t>
      </w:r>
      <w:r w:rsidR="00451867" w:rsidRPr="00762DF2">
        <w:rPr>
          <w:rFonts w:cs="Times New Roman"/>
        </w:rPr>
        <w:t xml:space="preserve">via </w:t>
      </w:r>
      <w:r w:rsidRPr="00762DF2">
        <w:rPr>
          <w:rFonts w:cs="Times New Roman"/>
        </w:rPr>
        <w:t>GmbH, Germany. Safflower seed oil, Tween® 85 and Span® 85 were purchased from Sigma-Aldrich, Germany. Palm kernel oil esters (PKOEs) was synthesized enzymatic alcoholysis of oleyl alcohol and palm kernel oil (3:1) catalysed by Lipozyme RM IM</w:t>
      </w:r>
      <w:r w:rsidR="00F43EC3">
        <w:rPr>
          <w:rFonts w:cs="Times New Roman"/>
        </w:rPr>
        <w:t xml:space="preserve"> </w:t>
      </w:r>
      <w:r w:rsidR="00F43EC3">
        <w:rPr>
          <w:rFonts w:cs="Times New Roman"/>
        </w:rPr>
        <w:fldChar w:fldCharType="begin" w:fldLock="1"/>
      </w:r>
      <w:r w:rsidR="006372CC">
        <w:rPr>
          <w:rFonts w:cs="Times New Roman"/>
        </w:rPr>
        <w:instrText>ADDIN CSL_CITATION {"citationItems":[{"id":"ITEM-1","itemData":{"DOI":"10.1016/j.indcrop.2008.04.002","ISBN":"0926-6690","ISSN":"09266690","abstract":"Palm esters were synthesized through enzymatic transesterification of various palm oil fractions with oleyl alcohol using Lipozyme RM IM as the catalyst. At the optimized alcoholysis reaction condition, after 5 h reaction time all palm oil fractions exhibited a high percentage yields of esters (&gt;80%). Simultaneous differential scanning calorimeter-thermal gravity analysis showed a high thermal stability profile of palm esters. Other physicochemical properties of palm esters such as refractive index, density, surface tension, slip melting point, saponification value, iodine value and acid value were analyzed following standard test methods modified from the American Oil Chemists' Society standards. The dermal irritation assay of palm oil esters shows the non-irritancy of the esters with a Human Irritancy Equivalent (HIE) score below 0.9. Furthermore, an increase in skin hydration of 40.7% after 90 min after application in an acute moisturizing test, has proven the suitably of palm oil esters to be used in the cosmetics formulation. © 2008 Elsevier B.V. All rights reserved.","author":[{"dropping-particle":"","family":"Keng","given":"P. S.","non-dropping-particle":"","parse-names":false,"suffix":""},{"dropping-particle":"","family":"Basri","given":"M.","non-dropping-particle":"","parse-names":false,"suffix":""},{"dropping-particle":"","family":"Zakaria","given":"M. R.S.","non-dropping-particle":"","parse-names":false,"suffix":""},{"dropping-particle":"","family":"Rahman","given":"M. B.Abdul","non-dropping-particle":"","parse-names":false,"suffix":""},{"dropping-particle":"","family":"Ariff","given":"A. B.","non-dropping-particle":"","parse-names":false,"suffix":""},{"dropping-particle":"","family":"Rahman","given":"R. N.Z.Abdul","non-dropping-particle":"","parse-names":false,"suffix":""},{"dropping-particle":"","family":"Salleh","given":"A. B.","non-dropping-particle":"","parse-names":false,"suffix":""}],"container-title":"Industrial Crops and Products","id":"ITEM-1","issue":"1","issued":{"date-parts":[["2009"]]},"page":"37-44","title":"Newly synthesized palm esters for cosmetics industry","type":"article-journal","volume":"29"},"uris":["http://www.mendeley.com/documents/?uuid=e21d8226-2f28-4f7a-bb0f-366266dc2f4f"]}],"mendeley":{"formattedCitation":"[8]","plainTextFormattedCitation":"[8]","previouslyFormattedCitation":"(Keng et al. 2009)"},"properties":{"noteIndex":0},"schema":"https://github.com/citation-style-language/schema/raw/master/csl-citation.json"}</w:instrText>
      </w:r>
      <w:r w:rsidR="00F43EC3">
        <w:rPr>
          <w:rFonts w:cs="Times New Roman"/>
        </w:rPr>
        <w:fldChar w:fldCharType="separate"/>
      </w:r>
      <w:r w:rsidR="006372CC" w:rsidRPr="006372CC">
        <w:rPr>
          <w:rFonts w:cs="Times New Roman"/>
          <w:noProof/>
        </w:rPr>
        <w:t>[8]</w:t>
      </w:r>
      <w:r w:rsidR="00F43EC3">
        <w:rPr>
          <w:rFonts w:cs="Times New Roman"/>
        </w:rPr>
        <w:fldChar w:fldCharType="end"/>
      </w:r>
      <w:r w:rsidRPr="00762DF2">
        <w:rPr>
          <w:rFonts w:cs="Times New Roman"/>
        </w:rPr>
        <w:t>. HPLC-grade acetonitrile and glycerol were purchased from J.T. Baker, USA while HPLC-grade methanol was purchased from Merck, Germany. Deionized water was generated using Milli-Q gradient water system (Billerica, USA).</w:t>
      </w:r>
    </w:p>
    <w:p w14:paraId="0D862150" w14:textId="77777777" w:rsidR="00762DF2" w:rsidRDefault="00762DF2" w:rsidP="000C0172">
      <w:pPr>
        <w:jc w:val="left"/>
        <w:outlineLvl w:val="0"/>
        <w:rPr>
          <w:rFonts w:cs="Times New Roman"/>
          <w:b/>
        </w:rPr>
      </w:pPr>
    </w:p>
    <w:p w14:paraId="6DB8B5EE" w14:textId="77777777" w:rsidR="000C0172" w:rsidRPr="00066C2C" w:rsidRDefault="000C0172" w:rsidP="000C0172">
      <w:pPr>
        <w:jc w:val="left"/>
        <w:outlineLvl w:val="0"/>
        <w:rPr>
          <w:rFonts w:cs="Times New Roman"/>
          <w:b/>
        </w:rPr>
      </w:pPr>
      <w:r w:rsidRPr="00066C2C">
        <w:rPr>
          <w:rFonts w:cs="Times New Roman"/>
          <w:b/>
        </w:rPr>
        <w:t>Instrument and chromatographic conditions</w:t>
      </w:r>
    </w:p>
    <w:p w14:paraId="62284A52" w14:textId="77777777" w:rsidR="000C0172" w:rsidRDefault="000C0172" w:rsidP="000C0172">
      <w:pPr>
        <w:outlineLvl w:val="0"/>
        <w:rPr>
          <w:rFonts w:cs="Times New Roman"/>
        </w:rPr>
      </w:pPr>
      <w:r w:rsidRPr="00066C2C">
        <w:rPr>
          <w:rFonts w:cs="Times New Roman"/>
        </w:rPr>
        <w:t>Chromatographic analysis for detection of DTX was performed using the high-performance liquid chromatography (HPLC) (Waters, USA) equipped with Breeze software, dual GM150 gradient mixers in the 1525 pump, waters 2489 UV/Visible detector and C</w:t>
      </w:r>
      <w:r w:rsidRPr="00066C2C">
        <w:rPr>
          <w:rFonts w:cs="Times New Roman"/>
          <w:vertAlign w:val="subscript"/>
        </w:rPr>
        <w:t>18</w:t>
      </w:r>
      <w:r w:rsidRPr="00066C2C">
        <w:rPr>
          <w:rFonts w:cs="Times New Roman"/>
        </w:rPr>
        <w:t xml:space="preserve"> analytical column with particle size of 5 µm and dimension of 4.6 x 150 mm (Eclipse plus, Agilent Technologies, USA). </w:t>
      </w:r>
      <w:r w:rsidR="00066C2C" w:rsidRPr="00066C2C">
        <w:rPr>
          <w:rFonts w:cs="Times New Roman"/>
        </w:rPr>
        <w:t xml:space="preserve">The mobile phase was composed of </w:t>
      </w:r>
      <w:r w:rsidRPr="00066C2C">
        <w:rPr>
          <w:rFonts w:cs="Times New Roman"/>
        </w:rPr>
        <w:t>filtered acetonitrile and deionized water</w:t>
      </w:r>
      <w:r w:rsidR="00066C2C" w:rsidRPr="00066C2C">
        <w:rPr>
          <w:rFonts w:cs="Times New Roman"/>
        </w:rPr>
        <w:t xml:space="preserve"> (50:50, v/v) adjusted to pH 3.0 with trifluoroacetic acid. The analysis was performed at room temperature by isocratic elution at flow rate of 1.0 mL/min, with UV-vis detector set at 228 nm and injection volume of 10 µL. </w:t>
      </w:r>
      <w:r w:rsidRPr="00066C2C">
        <w:rPr>
          <w:rFonts w:cs="Times New Roman"/>
        </w:rPr>
        <w:t>The sample solutions were filtered using polyvinylidene difluoride (P</w:t>
      </w:r>
      <w:r w:rsidR="00066C2C">
        <w:rPr>
          <w:rFonts w:cs="Times New Roman"/>
        </w:rPr>
        <w:t>VDF) 0.45 µm prior to injection.</w:t>
      </w:r>
    </w:p>
    <w:p w14:paraId="3EB80421" w14:textId="77777777" w:rsidR="007E7A55" w:rsidRDefault="007E7A55" w:rsidP="000C0172">
      <w:pPr>
        <w:outlineLvl w:val="0"/>
        <w:rPr>
          <w:rFonts w:cs="Times New Roman"/>
        </w:rPr>
      </w:pPr>
    </w:p>
    <w:p w14:paraId="348345BF" w14:textId="77777777" w:rsidR="007E7A55" w:rsidRDefault="007E7A55" w:rsidP="007E7A55">
      <w:pPr>
        <w:jc w:val="left"/>
        <w:outlineLvl w:val="0"/>
        <w:rPr>
          <w:rFonts w:cs="Times New Roman"/>
          <w:b/>
        </w:rPr>
      </w:pPr>
      <w:r>
        <w:rPr>
          <w:rFonts w:cs="Times New Roman"/>
          <w:b/>
        </w:rPr>
        <w:t>Preparation of nanoemulsion sample</w:t>
      </w:r>
    </w:p>
    <w:p w14:paraId="2B178F79" w14:textId="77777777" w:rsidR="007E7A55" w:rsidRPr="00066C2C" w:rsidRDefault="007E7A55" w:rsidP="000C0172">
      <w:pPr>
        <w:outlineLvl w:val="0"/>
        <w:rPr>
          <w:rFonts w:cs="Times New Roman"/>
        </w:rPr>
      </w:pPr>
      <w:r>
        <w:rPr>
          <w:rFonts w:cs="Times New Roman"/>
        </w:rPr>
        <w:t>A</w:t>
      </w:r>
      <w:r w:rsidRPr="000300C6">
        <w:rPr>
          <w:rFonts w:cs="Times New Roman"/>
        </w:rPr>
        <w:t xml:space="preserve"> stable</w:t>
      </w:r>
      <w:r>
        <w:rPr>
          <w:rFonts w:cs="Times New Roman"/>
        </w:rPr>
        <w:t xml:space="preserve"> of DTX-loaded nanoemulsion was prepared with 0.1% DTX, 5.0 </w:t>
      </w:r>
      <w:r w:rsidR="00AC15CA">
        <w:rPr>
          <w:rFonts w:cs="Times New Roman"/>
        </w:rPr>
        <w:t>wt.</w:t>
      </w:r>
      <w:r>
        <w:rPr>
          <w:rFonts w:cs="Times New Roman"/>
        </w:rPr>
        <w:t>% palm kernel oil ester</w:t>
      </w:r>
      <w:r w:rsidRPr="00596F2E">
        <w:rPr>
          <w:rFonts w:cs="Times New Roman"/>
        </w:rPr>
        <w:t>s</w:t>
      </w:r>
      <w:r>
        <w:rPr>
          <w:rFonts w:cs="Times New Roman"/>
        </w:rPr>
        <w:t xml:space="preserve"> (PKOEs)</w:t>
      </w:r>
      <w:r w:rsidRPr="00596F2E">
        <w:rPr>
          <w:rFonts w:cs="Times New Roman"/>
        </w:rPr>
        <w:t xml:space="preserve"> an</w:t>
      </w:r>
      <w:r>
        <w:rPr>
          <w:rFonts w:cs="Times New Roman"/>
        </w:rPr>
        <w:t>d safflower seed oil (9:1, w/w), 2.5 wt</w:t>
      </w:r>
      <w:r w:rsidR="00AC15CA">
        <w:rPr>
          <w:rFonts w:cs="Times New Roman"/>
        </w:rPr>
        <w:t>.</w:t>
      </w:r>
      <w:r>
        <w:rPr>
          <w:rFonts w:cs="Times New Roman"/>
        </w:rPr>
        <w:t>% lecithin, 2.0</w:t>
      </w:r>
      <w:r w:rsidRPr="000300C6">
        <w:rPr>
          <w:rFonts w:cs="Times New Roman"/>
        </w:rPr>
        <w:t xml:space="preserve"> wt</w:t>
      </w:r>
      <w:r w:rsidR="00AC15CA">
        <w:rPr>
          <w:rFonts w:cs="Times New Roman"/>
        </w:rPr>
        <w:t>.</w:t>
      </w:r>
      <w:r w:rsidRPr="000300C6">
        <w:rPr>
          <w:rFonts w:cs="Times New Roman"/>
        </w:rPr>
        <w:t>%</w:t>
      </w:r>
      <w:r>
        <w:rPr>
          <w:rFonts w:cs="Times New Roman"/>
        </w:rPr>
        <w:t xml:space="preserve"> Tween® 85 and Span® 85 (9:1), 2.5 wt</w:t>
      </w:r>
      <w:r w:rsidR="00AC15CA">
        <w:rPr>
          <w:rFonts w:cs="Times New Roman"/>
        </w:rPr>
        <w:t>.</w:t>
      </w:r>
      <w:r>
        <w:rPr>
          <w:rFonts w:cs="Times New Roman"/>
        </w:rPr>
        <w:t>% glycerol, and 87.9</w:t>
      </w:r>
      <w:r w:rsidRPr="000300C6">
        <w:rPr>
          <w:rFonts w:cs="Times New Roman"/>
        </w:rPr>
        <w:t xml:space="preserve"> wt</w:t>
      </w:r>
      <w:r w:rsidR="00AC15CA">
        <w:rPr>
          <w:rFonts w:cs="Times New Roman"/>
        </w:rPr>
        <w:t>.</w:t>
      </w:r>
      <w:r w:rsidRPr="000300C6">
        <w:rPr>
          <w:rFonts w:cs="Times New Roman"/>
        </w:rPr>
        <w:t>% water using high e</w:t>
      </w:r>
      <w:r>
        <w:rPr>
          <w:rFonts w:cs="Times New Roman"/>
        </w:rPr>
        <w:t>nergy emulsification techniques</w:t>
      </w:r>
      <w:r w:rsidRPr="001330C4">
        <w:rPr>
          <w:rFonts w:cs="Times New Roman"/>
        </w:rPr>
        <w:t>.</w:t>
      </w:r>
      <w:r>
        <w:rPr>
          <w:rFonts w:cs="Times New Roman"/>
        </w:rPr>
        <w:t xml:space="preserve"> </w:t>
      </w:r>
      <w:r w:rsidRPr="00275D97">
        <w:rPr>
          <w:rFonts w:cs="Times New Roman"/>
        </w:rPr>
        <w:t xml:space="preserve">Lecithin was first dissolved in a mixture of PKOEs and safflower seed oil at 40 °C for 30 minutes before being mixed with </w:t>
      </w:r>
      <w:r>
        <w:rPr>
          <w:rFonts w:cs="Times New Roman"/>
        </w:rPr>
        <w:t xml:space="preserve">DTX </w:t>
      </w:r>
      <w:r w:rsidRPr="00275D97">
        <w:rPr>
          <w:rFonts w:cs="Times New Roman"/>
        </w:rPr>
        <w:t>and</w:t>
      </w:r>
      <w:r>
        <w:rPr>
          <w:rFonts w:cs="Times New Roman"/>
        </w:rPr>
        <w:t xml:space="preserve"> mixture of Tween 85 and Span 85</w:t>
      </w:r>
      <w:r w:rsidRPr="00275D97">
        <w:rPr>
          <w:rFonts w:cs="Times New Roman"/>
        </w:rPr>
        <w:t xml:space="preserve"> for 30 minutes.</w:t>
      </w:r>
      <w:r>
        <w:rPr>
          <w:rFonts w:cs="Times New Roman"/>
        </w:rPr>
        <w:t xml:space="preserve"> The coarse emulsion was prepared by </w:t>
      </w:r>
      <w:r w:rsidRPr="00C90540">
        <w:rPr>
          <w:rFonts w:cs="Times New Roman"/>
        </w:rPr>
        <w:t>adding the oil phase dropwise into the aqueous phase containing deionized water and glycerol</w:t>
      </w:r>
      <w:r w:rsidRPr="00733E5B">
        <w:rPr>
          <w:rFonts w:cs="Times New Roman"/>
        </w:rPr>
        <w:t xml:space="preserve"> for 30 minutes at 3</w:t>
      </w:r>
      <w:r>
        <w:rPr>
          <w:rFonts w:cs="Times New Roman"/>
        </w:rPr>
        <w:t xml:space="preserve">50 rpm using overhead stirrer. The coarse emulsion was then further subjected to </w:t>
      </w:r>
      <w:r w:rsidRPr="001330C4">
        <w:rPr>
          <w:rFonts w:cs="Times New Roman"/>
        </w:rPr>
        <w:t xml:space="preserve">high </w:t>
      </w:r>
      <w:r>
        <w:rPr>
          <w:rFonts w:cs="Times New Roman"/>
        </w:rPr>
        <w:t xml:space="preserve">shear homogenizer </w:t>
      </w:r>
      <w:r w:rsidRPr="001330C4">
        <w:rPr>
          <w:rFonts w:cs="Times New Roman"/>
        </w:rPr>
        <w:t>for 15 minutes</w:t>
      </w:r>
      <w:r>
        <w:rPr>
          <w:rFonts w:cs="Times New Roman"/>
        </w:rPr>
        <w:t xml:space="preserve"> at 12,000 rpm.</w:t>
      </w:r>
    </w:p>
    <w:p w14:paraId="41E7DBB1" w14:textId="77777777" w:rsidR="000C0172" w:rsidRDefault="000C0172" w:rsidP="000C0172">
      <w:pPr>
        <w:jc w:val="left"/>
        <w:outlineLvl w:val="0"/>
        <w:rPr>
          <w:rFonts w:cs="Times New Roman"/>
          <w:b/>
        </w:rPr>
      </w:pPr>
    </w:p>
    <w:p w14:paraId="76E3DAC2" w14:textId="77777777" w:rsidR="000C0172" w:rsidRDefault="000C0172" w:rsidP="000C0172">
      <w:pPr>
        <w:jc w:val="left"/>
        <w:outlineLvl w:val="0"/>
        <w:rPr>
          <w:rFonts w:cs="Times New Roman"/>
          <w:b/>
        </w:rPr>
      </w:pPr>
      <w:r>
        <w:rPr>
          <w:rFonts w:cs="Times New Roman"/>
          <w:b/>
        </w:rPr>
        <w:t>Preparation of standard solution</w:t>
      </w:r>
    </w:p>
    <w:p w14:paraId="1E4C2CEE" w14:textId="2E58A287" w:rsidR="00423743" w:rsidRDefault="00260C2D" w:rsidP="00260C2D">
      <w:pPr>
        <w:widowControl/>
        <w:wordWrap/>
        <w:autoSpaceDE/>
        <w:autoSpaceDN/>
        <w:rPr>
          <w:rFonts w:eastAsia="Calibri" w:cs="Times New Roman"/>
          <w:kern w:val="0"/>
          <w:szCs w:val="20"/>
          <w:lang w:val="en-GB" w:eastAsia="en-US"/>
        </w:rPr>
      </w:pPr>
      <w:r w:rsidRPr="00260C2D">
        <w:rPr>
          <w:rFonts w:eastAsia="Calibri" w:cs="Times New Roman"/>
          <w:kern w:val="0"/>
          <w:szCs w:val="20"/>
          <w:lang w:val="en-GB" w:eastAsia="en-US"/>
        </w:rPr>
        <w:t xml:space="preserve">Stock solution of DTX </w:t>
      </w:r>
      <w:r>
        <w:rPr>
          <w:rFonts w:eastAsia="Calibri" w:cs="Times New Roman"/>
          <w:kern w:val="0"/>
          <w:szCs w:val="20"/>
          <w:lang w:val="en-GB" w:eastAsia="en-US"/>
        </w:rPr>
        <w:t xml:space="preserve">was </w:t>
      </w:r>
      <w:r w:rsidRPr="00260C2D">
        <w:rPr>
          <w:rFonts w:eastAsia="Calibri" w:cs="Times New Roman"/>
          <w:kern w:val="0"/>
          <w:szCs w:val="20"/>
          <w:lang w:val="en-GB" w:eastAsia="en-US"/>
        </w:rPr>
        <w:t xml:space="preserve">prepared by accurately weighed 10 mg of </w:t>
      </w:r>
      <w:r>
        <w:rPr>
          <w:rFonts w:eastAsia="Calibri" w:cs="Times New Roman"/>
          <w:kern w:val="0"/>
          <w:szCs w:val="20"/>
          <w:lang w:val="en-GB" w:eastAsia="en-US"/>
        </w:rPr>
        <w:t>DTX and was</w:t>
      </w:r>
      <w:r w:rsidRPr="00260C2D">
        <w:rPr>
          <w:rFonts w:eastAsia="Calibri" w:cs="Times New Roman"/>
          <w:kern w:val="0"/>
          <w:szCs w:val="20"/>
          <w:lang w:val="en-GB" w:eastAsia="en-US"/>
        </w:rPr>
        <w:t xml:space="preserve"> added into a </w:t>
      </w:r>
      <w:r>
        <w:rPr>
          <w:rFonts w:eastAsia="Calibri" w:cs="Times New Roman"/>
          <w:kern w:val="0"/>
          <w:szCs w:val="20"/>
          <w:lang w:val="en-GB" w:eastAsia="en-US"/>
        </w:rPr>
        <w:t>5 mL volumetric flask. The flask was</w:t>
      </w:r>
      <w:r w:rsidRPr="00260C2D">
        <w:rPr>
          <w:rFonts w:eastAsia="Calibri" w:cs="Times New Roman"/>
          <w:kern w:val="0"/>
          <w:szCs w:val="20"/>
          <w:lang w:val="en-GB" w:eastAsia="en-US"/>
        </w:rPr>
        <w:t xml:space="preserve"> filled and dissolved with methanol to the mark to get a 2000 µg/mL stock concentration. The two-fold serial dilution factor in the range 62.5</w:t>
      </w:r>
      <w:r w:rsidR="00A0461A">
        <w:rPr>
          <w:rFonts w:eastAsia="Calibri" w:cs="Times New Roman"/>
          <w:kern w:val="0"/>
          <w:szCs w:val="20"/>
          <w:lang w:val="en-GB" w:eastAsia="en-US"/>
        </w:rPr>
        <w:t>-</w:t>
      </w:r>
      <w:r>
        <w:rPr>
          <w:rFonts w:eastAsia="Calibri" w:cs="Times New Roman"/>
          <w:kern w:val="0"/>
          <w:szCs w:val="20"/>
          <w:lang w:val="en-GB" w:eastAsia="en-US"/>
        </w:rPr>
        <w:t>1000 µg/mL was</w:t>
      </w:r>
      <w:r w:rsidRPr="00260C2D">
        <w:rPr>
          <w:rFonts w:eastAsia="Calibri" w:cs="Times New Roman"/>
          <w:kern w:val="0"/>
          <w:szCs w:val="20"/>
          <w:lang w:val="en-GB" w:eastAsia="en-US"/>
        </w:rPr>
        <w:t xml:space="preserve"> prepared by serially reducing the concentration by one half. The HPLC methods in quantific</w:t>
      </w:r>
      <w:r>
        <w:rPr>
          <w:rFonts w:eastAsia="Calibri" w:cs="Times New Roman"/>
          <w:kern w:val="0"/>
          <w:szCs w:val="20"/>
          <w:lang w:val="en-GB" w:eastAsia="en-US"/>
        </w:rPr>
        <w:t>ation of DTX</w:t>
      </w:r>
      <w:r w:rsidRPr="00260C2D">
        <w:rPr>
          <w:rFonts w:eastAsia="Calibri" w:cs="Times New Roman"/>
          <w:kern w:val="0"/>
          <w:szCs w:val="20"/>
          <w:lang w:val="en-GB" w:eastAsia="en-US"/>
        </w:rPr>
        <w:t xml:space="preserve"> solutions were validated using</w:t>
      </w:r>
      <w:r w:rsidR="00423743">
        <w:rPr>
          <w:rFonts w:eastAsia="Calibri" w:cs="Times New Roman"/>
          <w:kern w:val="0"/>
          <w:szCs w:val="20"/>
          <w:lang w:val="en-GB" w:eastAsia="en-US"/>
        </w:rPr>
        <w:t xml:space="preserve"> specificity,</w:t>
      </w:r>
      <w:r w:rsidRPr="00260C2D">
        <w:rPr>
          <w:rFonts w:eastAsia="Calibri" w:cs="Times New Roman"/>
          <w:kern w:val="0"/>
          <w:szCs w:val="20"/>
          <w:lang w:val="en-GB" w:eastAsia="en-US"/>
        </w:rPr>
        <w:t xml:space="preserve"> linearity, sensitivity, repeatability and accuracy tests according to the guidelines from International Conference on Harmonisation</w:t>
      </w:r>
      <w:r>
        <w:rPr>
          <w:rFonts w:eastAsia="Calibri" w:cs="Times New Roman"/>
          <w:kern w:val="0"/>
          <w:szCs w:val="20"/>
          <w:lang w:val="en-GB" w:eastAsia="en-US"/>
        </w:rPr>
        <w:t>.</w:t>
      </w:r>
    </w:p>
    <w:p w14:paraId="6B646207" w14:textId="77777777" w:rsidR="00F30065" w:rsidRDefault="00F30065" w:rsidP="00260C2D">
      <w:pPr>
        <w:widowControl/>
        <w:wordWrap/>
        <w:autoSpaceDE/>
        <w:autoSpaceDN/>
        <w:rPr>
          <w:rFonts w:eastAsia="Calibri" w:cs="Times New Roman"/>
          <w:kern w:val="0"/>
          <w:szCs w:val="20"/>
          <w:lang w:val="en-GB" w:eastAsia="en-US"/>
        </w:rPr>
      </w:pPr>
    </w:p>
    <w:p w14:paraId="05118FE5" w14:textId="77777777" w:rsidR="00423743" w:rsidRDefault="006D3EEC" w:rsidP="00260C2D">
      <w:pPr>
        <w:widowControl/>
        <w:wordWrap/>
        <w:autoSpaceDE/>
        <w:autoSpaceDN/>
        <w:rPr>
          <w:rFonts w:eastAsia="Calibri" w:cs="Times New Roman"/>
          <w:b/>
          <w:bCs/>
          <w:kern w:val="0"/>
          <w:szCs w:val="20"/>
          <w:lang w:val="en-GB" w:eastAsia="en-US"/>
        </w:rPr>
      </w:pPr>
      <w:r>
        <w:rPr>
          <w:rFonts w:eastAsia="Calibri" w:cs="Times New Roman"/>
          <w:b/>
          <w:bCs/>
          <w:kern w:val="0"/>
          <w:szCs w:val="20"/>
          <w:lang w:val="en-GB" w:eastAsia="en-US"/>
        </w:rPr>
        <w:t>S</w:t>
      </w:r>
      <w:r w:rsidR="00423743" w:rsidRPr="00423743">
        <w:rPr>
          <w:rFonts w:eastAsia="Calibri" w:cs="Times New Roman"/>
          <w:b/>
          <w:bCs/>
          <w:kern w:val="0"/>
          <w:szCs w:val="20"/>
          <w:lang w:val="en-GB" w:eastAsia="en-US"/>
        </w:rPr>
        <w:t>pecificity</w:t>
      </w:r>
      <w:r>
        <w:rPr>
          <w:rFonts w:eastAsia="Calibri" w:cs="Times New Roman"/>
          <w:b/>
          <w:bCs/>
          <w:kern w:val="0"/>
          <w:szCs w:val="20"/>
          <w:lang w:val="en-GB" w:eastAsia="en-US"/>
        </w:rPr>
        <w:t xml:space="preserve"> and system suitability</w:t>
      </w:r>
    </w:p>
    <w:p w14:paraId="0DCA06A8" w14:textId="77777777" w:rsidR="00FB505B" w:rsidRPr="00FB0890" w:rsidRDefault="00423743" w:rsidP="00FB0890">
      <w:pPr>
        <w:widowControl/>
        <w:wordWrap/>
        <w:autoSpaceDE/>
        <w:autoSpaceDN/>
        <w:rPr>
          <w:rFonts w:eastAsia="Calibri" w:cs="Times New Roman"/>
          <w:kern w:val="0"/>
          <w:szCs w:val="20"/>
          <w:lang w:val="en-GB" w:eastAsia="en-US"/>
        </w:rPr>
      </w:pPr>
      <w:r w:rsidRPr="00423743">
        <w:rPr>
          <w:rFonts w:eastAsia="Calibri" w:cs="Times New Roman"/>
          <w:kern w:val="0"/>
          <w:szCs w:val="20"/>
          <w:lang w:val="en-GB" w:eastAsia="en-US"/>
        </w:rPr>
        <w:t>Spe</w:t>
      </w:r>
      <w:r>
        <w:rPr>
          <w:rFonts w:eastAsia="Calibri" w:cs="Times New Roman"/>
          <w:kern w:val="0"/>
          <w:szCs w:val="20"/>
          <w:lang w:val="en-GB" w:eastAsia="en-US"/>
        </w:rPr>
        <w:t>cificity is the ability of the developed method to distin</w:t>
      </w:r>
      <w:r w:rsidR="00743BC9">
        <w:rPr>
          <w:rFonts w:eastAsia="Calibri" w:cs="Times New Roman"/>
          <w:kern w:val="0"/>
          <w:szCs w:val="20"/>
          <w:lang w:val="en-GB" w:eastAsia="en-US"/>
        </w:rPr>
        <w:t>guish and separate</w:t>
      </w:r>
      <w:r>
        <w:rPr>
          <w:rFonts w:eastAsia="Calibri" w:cs="Times New Roman"/>
          <w:kern w:val="0"/>
          <w:szCs w:val="20"/>
          <w:lang w:val="en-GB" w:eastAsia="en-US"/>
        </w:rPr>
        <w:t xml:space="preserve"> analyte and other component in the </w:t>
      </w:r>
      <w:r w:rsidR="00743BC9">
        <w:rPr>
          <w:rFonts w:eastAsia="Calibri" w:cs="Times New Roman"/>
          <w:kern w:val="0"/>
          <w:szCs w:val="20"/>
          <w:lang w:val="en-GB" w:eastAsia="en-US"/>
        </w:rPr>
        <w:t>sample matrix</w:t>
      </w:r>
      <w:r>
        <w:rPr>
          <w:rFonts w:eastAsia="Calibri" w:cs="Times New Roman"/>
          <w:kern w:val="0"/>
          <w:szCs w:val="20"/>
          <w:lang w:val="en-GB" w:eastAsia="en-US"/>
        </w:rPr>
        <w:t xml:space="preserve"> </w:t>
      </w:r>
      <w:r>
        <w:rPr>
          <w:rFonts w:eastAsia="Calibri" w:cs="Times New Roman"/>
          <w:kern w:val="0"/>
          <w:szCs w:val="20"/>
          <w:lang w:val="en-GB" w:eastAsia="en-US"/>
        </w:rPr>
        <w:fldChar w:fldCharType="begin" w:fldLock="1"/>
      </w:r>
      <w:r w:rsidR="006372CC">
        <w:rPr>
          <w:rFonts w:eastAsia="Calibri" w:cs="Times New Roman"/>
          <w:kern w:val="0"/>
          <w:szCs w:val="20"/>
          <w:lang w:val="en-GB" w:eastAsia="en-US"/>
        </w:rPr>
        <w:instrText>ADDIN CSL_CITATION {"citationItems":[{"id":"ITEM-1","itemData":{"DOI":"10.1155/2015/357609","ISSN":"1687-8760","PMID":"26604927","abstract":"Quantification of tocotrienols in human plasma is critical when the attention towards tocotrienols on its distinctive properties is arising. We aim to develop a simple and practical normal-phase high performance liquid chromatography method to quantify the amount of four tocotrienol homologues in human plasma. Using both the external and internal standards, tocotrienol homologues were quantified via a normal-phase high performance liquid chromatography with fluorescence detector maintained at the excitation wavelength of 295 nm and the emission wavelength of 325 nm. The four tocotrienol homologues were well separated within 30 minutes. A large interindividual variation between subjects was observed as the absorption of tocotrienols is dependent on food matrix and gut lipolysis. The accuracies of lower and upper limit of quantification ranged between 92% and 109% for intraday assays and 90% and 112% for interday assays. This method was successfully applied to quantify the total amount of four tocotrienol homologues in human plasma.","author":[{"dropping-particle":"","family":"Che","given":"Hui-Ling","non-dropping-particle":"","parse-names":false,"suffix":""},{"dropping-particle":"","family":"Tan","given":"Doryn Meam-Yee","non-dropping-particle":"","parse-names":false,"suffix":""},{"dropping-particle":"","family":"Meganathan","given":"Puvaneswari","non-dropping-particle":"","parse-names":false,"suffix":""},{"dropping-particle":"","family":"Gan","given":"Yee-Lin","non-dropping-particle":"","parse-names":false,"suffix":""},{"dropping-particle":"","family":"Abdul Razak","given":"Ghazali","non-dropping-particle":"","parse-names":false,"suffix":""},{"dropping-particle":"","family":"Fu","given":"Ju-Yen","non-dropping-particle":"","parse-names":false,"suffix":""}],"container-title":"International journal of analytical chemistry","id":"ITEM-1","issued":{"date-parts":[["2015"]]},"page":"357609","publisher":"Hindawi Limited","title":"Validation of a HPLC/FLD Method for Quantification of Tocotrienols in Human Plasma.","type":"article-journal","volume":"2015"},"uris":["http://www.mendeley.com/documents/?uuid=63a1e805-47a5-3532-99a8-efeebc96ac32"]}],"mendeley":{"formattedCitation":"[9]","plainTextFormattedCitation":"[9]","previouslyFormattedCitation":"(Che et al. 2015)"},"properties":{"noteIndex":0},"schema":"https://github.com/citation-style-language/schema/raw/master/csl-citation.json"}</w:instrText>
      </w:r>
      <w:r>
        <w:rPr>
          <w:rFonts w:eastAsia="Calibri" w:cs="Times New Roman"/>
          <w:kern w:val="0"/>
          <w:szCs w:val="20"/>
          <w:lang w:val="en-GB" w:eastAsia="en-US"/>
        </w:rPr>
        <w:fldChar w:fldCharType="separate"/>
      </w:r>
      <w:r w:rsidR="006372CC" w:rsidRPr="006372CC">
        <w:rPr>
          <w:rFonts w:eastAsia="Calibri" w:cs="Times New Roman"/>
          <w:noProof/>
          <w:kern w:val="0"/>
          <w:szCs w:val="20"/>
          <w:lang w:val="en-GB" w:eastAsia="en-US"/>
        </w:rPr>
        <w:t>[9]</w:t>
      </w:r>
      <w:r>
        <w:rPr>
          <w:rFonts w:eastAsia="Calibri" w:cs="Times New Roman"/>
          <w:kern w:val="0"/>
          <w:szCs w:val="20"/>
          <w:lang w:val="en-GB" w:eastAsia="en-US"/>
        </w:rPr>
        <w:fldChar w:fldCharType="end"/>
      </w:r>
      <w:r>
        <w:rPr>
          <w:rFonts w:eastAsia="Calibri" w:cs="Times New Roman"/>
          <w:kern w:val="0"/>
          <w:szCs w:val="20"/>
          <w:lang w:val="en-GB" w:eastAsia="en-US"/>
        </w:rPr>
        <w:t xml:space="preserve">. </w:t>
      </w:r>
      <w:bookmarkStart w:id="1" w:name="_Hlk14723298"/>
      <w:r>
        <w:rPr>
          <w:rFonts w:eastAsia="Calibri" w:cs="Times New Roman"/>
          <w:kern w:val="0"/>
          <w:szCs w:val="20"/>
          <w:lang w:val="en-GB" w:eastAsia="en-US"/>
        </w:rPr>
        <w:t>A volume of</w:t>
      </w:r>
      <w:r w:rsidR="00743BC9">
        <w:rPr>
          <w:rFonts w:eastAsia="Calibri" w:cs="Times New Roman"/>
          <w:kern w:val="0"/>
          <w:szCs w:val="20"/>
          <w:lang w:val="en-GB" w:eastAsia="en-US"/>
        </w:rPr>
        <w:t xml:space="preserve"> 0.5 mL blank nanoemulsion formulation was spiked with 0.5 mL of DTX solution at concentration of 125 μg/mL. The mixture was vortexed vigorously and analysed using HPLC method as described above.</w:t>
      </w:r>
      <w:r w:rsidR="006D3EEC">
        <w:rPr>
          <w:rFonts w:eastAsia="Calibri" w:cs="Times New Roman"/>
          <w:kern w:val="0"/>
          <w:szCs w:val="20"/>
          <w:lang w:val="en-GB" w:eastAsia="en-US"/>
        </w:rPr>
        <w:t xml:space="preserve"> The system suitability including asymmetric peak</w:t>
      </w:r>
      <w:r w:rsidR="00E5757B">
        <w:rPr>
          <w:rFonts w:eastAsia="Calibri" w:cs="Times New Roman"/>
          <w:kern w:val="0"/>
          <w:szCs w:val="20"/>
          <w:lang w:val="en-GB" w:eastAsia="en-US"/>
        </w:rPr>
        <w:t>,</w:t>
      </w:r>
      <w:r w:rsidR="006D3EEC">
        <w:rPr>
          <w:rFonts w:eastAsia="Calibri" w:cs="Times New Roman"/>
          <w:kern w:val="0"/>
          <w:szCs w:val="20"/>
          <w:lang w:val="en-GB" w:eastAsia="en-US"/>
        </w:rPr>
        <w:t xml:space="preserve"> tailing factor</w:t>
      </w:r>
      <w:r w:rsidR="00CC4DC6">
        <w:rPr>
          <w:rFonts w:eastAsia="Calibri" w:cs="Times New Roman"/>
          <w:kern w:val="0"/>
          <w:szCs w:val="20"/>
          <w:lang w:val="en-GB" w:eastAsia="en-US"/>
        </w:rPr>
        <w:t xml:space="preserve"> and number of theoretical plates were determined.</w:t>
      </w:r>
    </w:p>
    <w:bookmarkEnd w:id="1"/>
    <w:p w14:paraId="1A6E12EE" w14:textId="77777777" w:rsidR="00E570AF" w:rsidRPr="00423743" w:rsidRDefault="00E570AF" w:rsidP="00260C2D">
      <w:pPr>
        <w:tabs>
          <w:tab w:val="left" w:pos="1064"/>
        </w:tabs>
        <w:jc w:val="left"/>
        <w:outlineLvl w:val="0"/>
        <w:rPr>
          <w:rFonts w:cs="Times New Roman"/>
          <w:szCs w:val="20"/>
        </w:rPr>
      </w:pPr>
    </w:p>
    <w:p w14:paraId="0BD8FB46" w14:textId="77777777" w:rsidR="000C0172" w:rsidRDefault="000C0172" w:rsidP="000C0172">
      <w:pPr>
        <w:jc w:val="left"/>
        <w:outlineLvl w:val="0"/>
        <w:rPr>
          <w:rFonts w:cs="Times New Roman"/>
          <w:b/>
        </w:rPr>
      </w:pPr>
      <w:r>
        <w:rPr>
          <w:rFonts w:cs="Times New Roman"/>
          <w:b/>
        </w:rPr>
        <w:t>Linearity test</w:t>
      </w:r>
    </w:p>
    <w:p w14:paraId="1E2C527F" w14:textId="77777777" w:rsidR="00260C2D" w:rsidRDefault="00260C2D" w:rsidP="00D365D2">
      <w:pPr>
        <w:widowControl/>
        <w:wordWrap/>
        <w:autoSpaceDE/>
        <w:autoSpaceDN/>
        <w:rPr>
          <w:rFonts w:eastAsia="Calibri" w:cs="Times New Roman"/>
          <w:kern w:val="0"/>
          <w:szCs w:val="20"/>
          <w:lang w:val="en-GB" w:eastAsia="en-US"/>
        </w:rPr>
      </w:pPr>
      <w:bookmarkStart w:id="2" w:name="_Hlk3402190"/>
      <w:r w:rsidRPr="00260C2D">
        <w:rPr>
          <w:rFonts w:eastAsia="Calibri" w:cs="Times New Roman"/>
          <w:kern w:val="0"/>
          <w:szCs w:val="20"/>
          <w:lang w:eastAsia="en-US"/>
        </w:rPr>
        <w:t>Five standard concentrations of 62.5, 125, 250, 500 and 1000 µg/mL were used in the preparation of standard plot of</w:t>
      </w:r>
      <w:r w:rsidR="00FB0890">
        <w:rPr>
          <w:rFonts w:eastAsia="Calibri" w:cs="Times New Roman"/>
          <w:kern w:val="0"/>
          <w:szCs w:val="20"/>
          <w:lang w:eastAsia="en-US"/>
        </w:rPr>
        <w:t xml:space="preserve"> </w:t>
      </w:r>
      <w:r w:rsidRPr="00260C2D">
        <w:rPr>
          <w:rFonts w:eastAsia="Calibri" w:cs="Times New Roman"/>
          <w:kern w:val="0"/>
          <w:szCs w:val="20"/>
          <w:lang w:eastAsia="en-US"/>
        </w:rPr>
        <w:t>DTX</w:t>
      </w:r>
      <w:bookmarkEnd w:id="2"/>
      <w:r w:rsidRPr="00D365D2">
        <w:rPr>
          <w:rFonts w:eastAsia="Calibri" w:cs="Times New Roman"/>
          <w:kern w:val="0"/>
          <w:szCs w:val="20"/>
          <w:lang w:eastAsia="en-US"/>
        </w:rPr>
        <w:t xml:space="preserve">. </w:t>
      </w:r>
      <w:r w:rsidRPr="00260C2D">
        <w:rPr>
          <w:rFonts w:eastAsia="Calibri" w:cs="Times New Roman"/>
          <w:kern w:val="0"/>
          <w:szCs w:val="20"/>
          <w:lang w:val="en-GB" w:eastAsia="en-US"/>
        </w:rPr>
        <w:t xml:space="preserve">Three replicates (n = 3) at each concentration of </w:t>
      </w:r>
      <w:r w:rsidR="00D365D2">
        <w:rPr>
          <w:rFonts w:eastAsia="Calibri" w:cs="Times New Roman"/>
          <w:kern w:val="0"/>
          <w:szCs w:val="20"/>
          <w:lang w:val="en-GB" w:eastAsia="en-US"/>
        </w:rPr>
        <w:t xml:space="preserve">DTX </w:t>
      </w:r>
      <w:r w:rsidRPr="00260C2D">
        <w:rPr>
          <w:rFonts w:eastAsia="Calibri" w:cs="Times New Roman"/>
          <w:kern w:val="0"/>
          <w:szCs w:val="20"/>
          <w:lang w:val="en-GB" w:eastAsia="en-US"/>
        </w:rPr>
        <w:t xml:space="preserve">were analysed using HPLC method </w:t>
      </w:r>
      <w:r w:rsidR="00D365D2">
        <w:rPr>
          <w:rFonts w:eastAsia="Calibri" w:cs="Times New Roman"/>
          <w:kern w:val="0"/>
          <w:szCs w:val="20"/>
          <w:lang w:val="en-GB" w:eastAsia="en-US"/>
        </w:rPr>
        <w:t>as described above.</w:t>
      </w:r>
      <w:r w:rsidR="00C57A61" w:rsidRPr="00C57A61">
        <w:rPr>
          <w:rFonts w:eastAsia="Calibri" w:cs="Times New Roman"/>
          <w:kern w:val="0"/>
          <w:szCs w:val="20"/>
          <w:lang w:val="en-GB" w:eastAsia="en-US"/>
        </w:rPr>
        <w:t xml:space="preserve"> </w:t>
      </w:r>
      <w:bookmarkStart w:id="3" w:name="_Hlk14725498"/>
      <w:r w:rsidR="00C57A61">
        <w:rPr>
          <w:rFonts w:eastAsia="Calibri" w:cs="Times New Roman"/>
          <w:kern w:val="0"/>
          <w:szCs w:val="20"/>
          <w:lang w:val="en-GB" w:eastAsia="en-US"/>
        </w:rPr>
        <w:t xml:space="preserve">The slope and </w:t>
      </w:r>
      <w:r w:rsidR="00C57A61" w:rsidRPr="00260C2D">
        <w:rPr>
          <w:rFonts w:eastAsia="Calibri" w:cs="Times New Roman"/>
          <w:kern w:val="0"/>
          <w:szCs w:val="20"/>
          <w:lang w:val="en-GB" w:eastAsia="en-US"/>
        </w:rPr>
        <w:t>int</w:t>
      </w:r>
      <w:r w:rsidR="00C57A61" w:rsidRPr="00D365D2">
        <w:rPr>
          <w:rFonts w:eastAsia="Calibri" w:cs="Times New Roman"/>
          <w:kern w:val="0"/>
          <w:szCs w:val="20"/>
          <w:lang w:val="en-GB" w:eastAsia="en-US"/>
        </w:rPr>
        <w:t>ercept of calibration plot was calculated</w:t>
      </w:r>
      <w:r w:rsidR="00C57A61">
        <w:rPr>
          <w:rFonts w:eastAsia="Calibri" w:cs="Times New Roman"/>
          <w:kern w:val="0"/>
          <w:szCs w:val="20"/>
          <w:lang w:val="en-GB" w:eastAsia="en-US"/>
        </w:rPr>
        <w:t xml:space="preserve"> for regression analysis </w:t>
      </w:r>
      <w:r w:rsidR="00C57A61" w:rsidRPr="00260C2D">
        <w:rPr>
          <w:rFonts w:eastAsia="Calibri" w:cs="Times New Roman"/>
          <w:kern w:val="0"/>
          <w:szCs w:val="20"/>
          <w:lang w:val="en-GB" w:eastAsia="en-US"/>
        </w:rPr>
        <w:t xml:space="preserve">in order to </w:t>
      </w:r>
      <w:r w:rsidR="00C57A61" w:rsidRPr="00260C2D">
        <w:rPr>
          <w:rFonts w:eastAsia="Calibri" w:cs="Times New Roman"/>
          <w:kern w:val="0"/>
          <w:szCs w:val="20"/>
          <w:lang w:val="en-GB" w:eastAsia="en-US"/>
        </w:rPr>
        <w:lastRenderedPageBreak/>
        <w:t>determine the linearity of the plot</w:t>
      </w:r>
      <w:r w:rsidR="00FB762F">
        <w:rPr>
          <w:rFonts w:eastAsia="Calibri" w:cs="Times New Roman"/>
          <w:kern w:val="0"/>
          <w:szCs w:val="20"/>
          <w:lang w:val="en-GB" w:eastAsia="en-US"/>
        </w:rPr>
        <w:t xml:space="preserve"> and the significance of linear regression was </w:t>
      </w:r>
      <w:r w:rsidR="00097C0D">
        <w:rPr>
          <w:rFonts w:eastAsia="Calibri" w:cs="Times New Roman"/>
          <w:kern w:val="0"/>
          <w:szCs w:val="20"/>
          <w:lang w:val="en-GB" w:eastAsia="en-US"/>
        </w:rPr>
        <w:t>confirmed</w:t>
      </w:r>
      <w:r w:rsidR="00FB762F">
        <w:rPr>
          <w:rFonts w:eastAsia="Calibri" w:cs="Times New Roman"/>
          <w:kern w:val="0"/>
          <w:szCs w:val="20"/>
          <w:lang w:val="en-GB" w:eastAsia="en-US"/>
        </w:rPr>
        <w:t xml:space="preserve"> by one-way ANOVA test.</w:t>
      </w:r>
      <w:bookmarkEnd w:id="3"/>
    </w:p>
    <w:p w14:paraId="2565901B" w14:textId="77777777" w:rsidR="00D365D2" w:rsidRDefault="00D365D2" w:rsidP="00D365D2">
      <w:pPr>
        <w:widowControl/>
        <w:wordWrap/>
        <w:autoSpaceDE/>
        <w:autoSpaceDN/>
        <w:rPr>
          <w:rFonts w:cs="Times New Roman"/>
          <w:b/>
        </w:rPr>
      </w:pPr>
    </w:p>
    <w:p w14:paraId="4456179A" w14:textId="77777777" w:rsidR="000C0172" w:rsidRDefault="000C0172" w:rsidP="000C0172">
      <w:pPr>
        <w:jc w:val="left"/>
        <w:outlineLvl w:val="0"/>
        <w:rPr>
          <w:rFonts w:cs="Times New Roman"/>
          <w:b/>
        </w:rPr>
      </w:pPr>
      <w:r>
        <w:rPr>
          <w:rFonts w:cs="Times New Roman"/>
          <w:b/>
        </w:rPr>
        <w:t>Sensitivity test</w:t>
      </w:r>
    </w:p>
    <w:p w14:paraId="35D446D6" w14:textId="77777777" w:rsidR="00D365D2" w:rsidRDefault="00D365D2" w:rsidP="00D365D2">
      <w:pPr>
        <w:widowControl/>
        <w:wordWrap/>
        <w:autoSpaceDE/>
        <w:autoSpaceDN/>
        <w:rPr>
          <w:rFonts w:eastAsia="Calibri" w:cs="Times New Roman"/>
          <w:kern w:val="0"/>
          <w:szCs w:val="20"/>
          <w:lang w:val="en-GB" w:eastAsia="en-US"/>
        </w:rPr>
      </w:pPr>
      <w:r w:rsidRPr="00D365D2">
        <w:rPr>
          <w:rFonts w:eastAsia="Calibri" w:cs="Times New Roman"/>
          <w:kern w:val="0"/>
          <w:szCs w:val="20"/>
          <w:lang w:val="en-GB" w:eastAsia="en-US"/>
        </w:rPr>
        <w:t>The sensitivity</w:t>
      </w:r>
      <w:r>
        <w:rPr>
          <w:rFonts w:eastAsia="Calibri" w:cs="Times New Roman"/>
          <w:kern w:val="0"/>
          <w:szCs w:val="20"/>
          <w:lang w:val="en-GB" w:eastAsia="en-US"/>
        </w:rPr>
        <w:t xml:space="preserve"> for detection of DTX</w:t>
      </w:r>
      <w:r w:rsidRPr="00D365D2">
        <w:rPr>
          <w:rFonts w:eastAsia="Calibri" w:cs="Times New Roman"/>
          <w:kern w:val="0"/>
          <w:szCs w:val="20"/>
          <w:lang w:val="en-GB" w:eastAsia="en-US"/>
        </w:rPr>
        <w:t xml:space="preserve"> was determined by evaluating t</w:t>
      </w:r>
      <w:r w:rsidR="00CB6150">
        <w:rPr>
          <w:rFonts w:eastAsia="Calibri" w:cs="Times New Roman"/>
          <w:kern w:val="0"/>
          <w:szCs w:val="20"/>
          <w:lang w:val="en-GB" w:eastAsia="en-US"/>
        </w:rPr>
        <w:t>he limit of detection (LOD) and limit of quantification (</w:t>
      </w:r>
      <w:r w:rsidRPr="00D365D2">
        <w:rPr>
          <w:rFonts w:eastAsia="Calibri" w:cs="Times New Roman"/>
          <w:kern w:val="0"/>
          <w:szCs w:val="20"/>
          <w:lang w:val="en-GB" w:eastAsia="en-US"/>
        </w:rPr>
        <w:t>LOQ) of the analyte. According to</w:t>
      </w:r>
      <w:r w:rsidR="00821003">
        <w:rPr>
          <w:rFonts w:eastAsia="Calibri" w:cs="Times New Roman"/>
          <w:kern w:val="0"/>
          <w:szCs w:val="20"/>
          <w:lang w:val="en-GB" w:eastAsia="en-US"/>
        </w:rPr>
        <w:t xml:space="preserve"> ICH</w:t>
      </w:r>
      <w:r w:rsidRPr="00D365D2">
        <w:rPr>
          <w:rFonts w:eastAsia="Calibri" w:cs="Times New Roman"/>
          <w:kern w:val="0"/>
          <w:szCs w:val="20"/>
          <w:lang w:val="en-GB" w:eastAsia="en-US"/>
        </w:rPr>
        <w:t xml:space="preserve"> guidelines, the LOD of the analyte response is the lowest amount of analyte in the sample can be detected while the an</w:t>
      </w:r>
      <w:r w:rsidR="00CB6150">
        <w:rPr>
          <w:rFonts w:eastAsia="Calibri" w:cs="Times New Roman"/>
          <w:kern w:val="0"/>
          <w:szCs w:val="20"/>
          <w:lang w:val="en-GB" w:eastAsia="en-US"/>
        </w:rPr>
        <w:t xml:space="preserve">alyte response (signal) at the </w:t>
      </w:r>
      <w:r w:rsidRPr="00D365D2">
        <w:rPr>
          <w:rFonts w:eastAsia="Calibri" w:cs="Times New Roman"/>
          <w:kern w:val="0"/>
          <w:szCs w:val="20"/>
          <w:lang w:val="en-GB" w:eastAsia="en-US"/>
        </w:rPr>
        <w:t>LOQ should be at least 10 times the response compared to blank response (noise) with suitable accuracy and precisio</w:t>
      </w:r>
      <w:r w:rsidR="00CB6150">
        <w:rPr>
          <w:rFonts w:eastAsia="Calibri" w:cs="Times New Roman"/>
          <w:kern w:val="0"/>
          <w:szCs w:val="20"/>
          <w:lang w:val="en-GB" w:eastAsia="en-US"/>
        </w:rPr>
        <w:t xml:space="preserve">n. The LOD and </w:t>
      </w:r>
      <w:r w:rsidRPr="00D365D2">
        <w:rPr>
          <w:rFonts w:eastAsia="Calibri" w:cs="Times New Roman"/>
          <w:kern w:val="0"/>
          <w:szCs w:val="20"/>
          <w:lang w:val="en-GB" w:eastAsia="en-US"/>
        </w:rPr>
        <w:t>LOQ of the response analyte were calculated using the following equations:</w:t>
      </w:r>
    </w:p>
    <w:tbl>
      <w:tblPr>
        <w:tblStyle w:val="TableGrid"/>
        <w:tblpPr w:leftFromText="180" w:rightFromText="180" w:vertAnchor="text" w:horzAnchor="page" w:tblpX="2117" w:tblpY="144"/>
        <w:tblW w:w="84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4928"/>
      </w:tblGrid>
      <w:tr w:rsidR="00A0461A" w14:paraId="19C7420B" w14:textId="77777777" w:rsidTr="00A0461A">
        <w:tc>
          <w:tcPr>
            <w:tcW w:w="3544" w:type="dxa"/>
          </w:tcPr>
          <w:p w14:paraId="0F530563" w14:textId="77777777" w:rsidR="00A0461A" w:rsidRPr="00A0461A" w:rsidRDefault="00A0461A" w:rsidP="00A0461A">
            <w:pPr>
              <w:widowControl/>
              <w:wordWrap/>
              <w:autoSpaceDE/>
              <w:autoSpaceDN/>
              <w:rPr>
                <w:rFonts w:eastAsia="Calibri" w:cs="Times New Roman"/>
                <w:kern w:val="0"/>
                <w:szCs w:val="20"/>
                <w:lang w:val="en-GB" w:eastAsia="en-US"/>
              </w:rPr>
            </w:pPr>
            <m:oMathPara>
              <m:oMathParaPr>
                <m:jc m:val="left"/>
              </m:oMathParaPr>
              <m:oMath>
                <m:r>
                  <m:rPr>
                    <m:nor/>
                  </m:rPr>
                  <w:rPr>
                    <w:rFonts w:eastAsia="Calibri" w:cs="Times New Roman"/>
                    <w:kern w:val="0"/>
                    <w:szCs w:val="20"/>
                    <w:lang w:val="en-GB" w:eastAsia="en-US"/>
                  </w:rPr>
                  <m:t>LOD</m:t>
                </m:r>
                <m:r>
                  <m:rPr>
                    <m:nor/>
                  </m:rPr>
                  <w:rPr>
                    <w:rFonts w:ascii="Cambria Math" w:eastAsia="Calibri" w:cs="Times New Roman"/>
                    <w:kern w:val="0"/>
                    <w:szCs w:val="20"/>
                    <w:lang w:val="en-GB" w:eastAsia="en-US"/>
                  </w:rPr>
                  <m:t xml:space="preserve"> </m:t>
                </m:r>
                <m:r>
                  <m:rPr>
                    <m:nor/>
                  </m:rPr>
                  <w:rPr>
                    <w:rFonts w:eastAsia="Calibri" w:cs="Times New Roman"/>
                    <w:kern w:val="0"/>
                    <w:szCs w:val="20"/>
                    <w:lang w:val="en-GB" w:eastAsia="en-US"/>
                  </w:rPr>
                  <m:t>=</m:t>
                </m:r>
                <m:r>
                  <m:rPr>
                    <m:nor/>
                  </m:rPr>
                  <w:rPr>
                    <w:rFonts w:ascii="Cambria Math" w:eastAsia="Calibri" w:cs="Times New Roman"/>
                    <w:kern w:val="0"/>
                    <w:szCs w:val="20"/>
                    <w:lang w:val="en-GB" w:eastAsia="en-US"/>
                  </w:rPr>
                  <m:t xml:space="preserve"> </m:t>
                </m:r>
                <m:r>
                  <m:rPr>
                    <m:nor/>
                  </m:rPr>
                  <w:rPr>
                    <w:rFonts w:eastAsia="Calibri" w:cs="Times New Roman"/>
                    <w:kern w:val="0"/>
                    <w:szCs w:val="20"/>
                    <w:lang w:val="en-GB" w:eastAsia="en-US"/>
                  </w:rPr>
                  <m:t>3.3 ×</m:t>
                </m:r>
                <m:r>
                  <m:rPr>
                    <m:nor/>
                  </m:rPr>
                  <w:rPr>
                    <w:rFonts w:ascii="Cambria Math" w:eastAsia="Calibri" w:cs="Times New Roman"/>
                    <w:kern w:val="0"/>
                    <w:szCs w:val="20"/>
                    <w:lang w:val="en-GB" w:eastAsia="en-US"/>
                  </w:rPr>
                  <m:t xml:space="preserve"> </m:t>
                </m:r>
                <m:r>
                  <m:rPr>
                    <m:nor/>
                  </m:rPr>
                  <w:rPr>
                    <w:rFonts w:eastAsia="Calibri" w:cs="Times New Roman"/>
                    <w:kern w:val="0"/>
                    <w:szCs w:val="20"/>
                    <w:lang w:val="en-GB" w:eastAsia="en-US"/>
                  </w:rPr>
                  <m:t xml:space="preserve">σ/S   </m:t>
                </m:r>
                <m:r>
                  <m:rPr>
                    <m:nor/>
                  </m:rPr>
                  <w:rPr>
                    <w:rFonts w:eastAsia="Calibri" w:cs="Times New Roman"/>
                    <w:kern w:val="0"/>
                    <w:szCs w:val="20"/>
                    <w:lang w:val="en-GB" w:eastAsia="en-US"/>
                  </w:rPr>
                  <m:t xml:space="preserve"> </m:t>
                </m:r>
              </m:oMath>
            </m:oMathPara>
          </w:p>
        </w:tc>
        <w:tc>
          <w:tcPr>
            <w:tcW w:w="4928" w:type="dxa"/>
          </w:tcPr>
          <w:p w14:paraId="7F02641A" w14:textId="7B0545F9" w:rsidR="00A0461A" w:rsidRPr="00051E91" w:rsidRDefault="00A0461A" w:rsidP="00A0461A">
            <w:pPr>
              <w:pStyle w:val="Caption"/>
              <w:rPr>
                <w:rFonts w:eastAsia="Calibri" w:cs="Times New Roman"/>
                <w:iCs w:val="0"/>
                <w:kern w:val="0"/>
                <w:szCs w:val="20"/>
                <w:lang w:val="en-AU" w:eastAsia="en-US"/>
              </w:rPr>
            </w:pPr>
            <w:r>
              <w:rPr>
                <w:rFonts w:cs="Times New Roman"/>
                <w:iCs w:val="0"/>
              </w:rPr>
              <w:t xml:space="preserve">                                                                                         </w:t>
            </w:r>
            <w:r>
              <w:rPr>
                <w:rFonts w:cs="Times New Roman"/>
                <w:iCs w:val="0"/>
              </w:rPr>
              <w:t>(1)</w:t>
            </w:r>
          </w:p>
        </w:tc>
      </w:tr>
      <w:tr w:rsidR="00A0461A" w14:paraId="27968C72" w14:textId="77777777" w:rsidTr="00A0461A">
        <w:tc>
          <w:tcPr>
            <w:tcW w:w="3544" w:type="dxa"/>
          </w:tcPr>
          <w:p w14:paraId="0C3D5892" w14:textId="77777777" w:rsidR="00A0461A" w:rsidRPr="00A0461A" w:rsidRDefault="00A0461A" w:rsidP="00A0461A">
            <w:pPr>
              <w:widowControl/>
              <w:wordWrap/>
              <w:autoSpaceDE/>
              <w:autoSpaceDN/>
              <w:rPr>
                <w:rFonts w:eastAsia="Calibri" w:cs="Times New Roman"/>
                <w:kern w:val="0"/>
                <w:szCs w:val="20"/>
                <w:lang w:val="en-GB" w:eastAsia="en-US"/>
              </w:rPr>
            </w:pPr>
            <m:oMathPara>
              <m:oMathParaPr>
                <m:jc m:val="left"/>
              </m:oMathParaPr>
              <m:oMath>
                <m:r>
                  <m:rPr>
                    <m:nor/>
                  </m:rPr>
                  <w:rPr>
                    <w:rFonts w:eastAsia="Calibri" w:cs="Times New Roman"/>
                    <w:kern w:val="0"/>
                    <w:szCs w:val="20"/>
                    <w:lang w:val="en-GB" w:eastAsia="en-US"/>
                  </w:rPr>
                  <m:t>LOQ =</m:t>
                </m:r>
                <m:r>
                  <m:rPr>
                    <m:nor/>
                  </m:rPr>
                  <w:rPr>
                    <w:rFonts w:ascii="Cambria Math" w:eastAsia="Calibri" w:cs="Times New Roman"/>
                    <w:kern w:val="0"/>
                    <w:szCs w:val="20"/>
                    <w:lang w:val="en-GB" w:eastAsia="en-US"/>
                  </w:rPr>
                  <m:t xml:space="preserve"> </m:t>
                </m:r>
                <m:r>
                  <m:rPr>
                    <m:nor/>
                  </m:rPr>
                  <w:rPr>
                    <w:rFonts w:eastAsia="Calibri" w:cs="Times New Roman"/>
                    <w:kern w:val="0"/>
                    <w:szCs w:val="20"/>
                    <w:lang w:val="en-GB" w:eastAsia="en-US"/>
                  </w:rPr>
                  <m:t>10</m:t>
                </m:r>
                <m:r>
                  <m:rPr>
                    <m:nor/>
                  </m:rPr>
                  <w:rPr>
                    <w:rFonts w:ascii="Cambria Math" w:eastAsia="Calibri" w:cs="Times New Roman"/>
                    <w:kern w:val="0"/>
                    <w:szCs w:val="20"/>
                    <w:lang w:val="en-GB" w:eastAsia="en-US"/>
                  </w:rPr>
                  <m:t xml:space="preserve"> </m:t>
                </m:r>
                <m:r>
                  <m:rPr>
                    <m:nor/>
                  </m:rPr>
                  <w:rPr>
                    <w:rFonts w:eastAsia="Calibri" w:cs="Times New Roman"/>
                    <w:kern w:val="0"/>
                    <w:szCs w:val="20"/>
                    <w:lang w:val="en-GB" w:eastAsia="en-US"/>
                  </w:rPr>
                  <m:t>× σ/S</m:t>
                </m:r>
                <m:r>
                  <m:rPr>
                    <m:nor/>
                  </m:rPr>
                  <w:rPr>
                    <w:rFonts w:ascii="Cambria Math" w:eastAsia="Calibri" w:cs="Times New Roman"/>
                    <w:kern w:val="0"/>
                    <w:szCs w:val="20"/>
                    <w:lang w:val="en-GB" w:eastAsia="en-US"/>
                  </w:rPr>
                  <m:t xml:space="preserve"> </m:t>
                </m:r>
                <m:r>
                  <m:rPr>
                    <m:nor/>
                  </m:rPr>
                  <w:rPr>
                    <w:rFonts w:eastAsia="Calibri" w:cs="Times New Roman"/>
                    <w:kern w:val="0"/>
                    <w:szCs w:val="20"/>
                    <w:lang w:val="en-GB" w:eastAsia="en-US"/>
                  </w:rPr>
                  <m:t xml:space="preserve"> </m:t>
                </m:r>
                <m:r>
                  <m:rPr>
                    <m:nor/>
                  </m:rPr>
                  <w:rPr>
                    <w:rFonts w:eastAsia="Calibri" w:cs="Times New Roman"/>
                    <w:kern w:val="0"/>
                    <w:szCs w:val="20"/>
                    <w:lang w:val="en-GB" w:eastAsia="en-US"/>
                  </w:rPr>
                  <m:t xml:space="preserve"> </m:t>
                </m:r>
              </m:oMath>
            </m:oMathPara>
          </w:p>
        </w:tc>
        <w:tc>
          <w:tcPr>
            <w:tcW w:w="4928" w:type="dxa"/>
          </w:tcPr>
          <w:p w14:paraId="287B91D6" w14:textId="31EC826F" w:rsidR="00A0461A" w:rsidRPr="00051E91" w:rsidRDefault="00A0461A" w:rsidP="00A0461A">
            <w:pPr>
              <w:pStyle w:val="Caption"/>
              <w:rPr>
                <w:rFonts w:eastAsia="Calibri" w:cs="Times New Roman"/>
                <w:iCs w:val="0"/>
                <w:kern w:val="0"/>
                <w:szCs w:val="20"/>
                <w:lang w:val="en-GB" w:eastAsia="en-US"/>
              </w:rPr>
            </w:pPr>
            <w:r>
              <w:rPr>
                <w:rFonts w:cs="Times New Roman"/>
                <w:iCs w:val="0"/>
              </w:rPr>
              <w:t xml:space="preserve">                                                                                         </w:t>
            </w:r>
            <w:r>
              <w:rPr>
                <w:rFonts w:cs="Times New Roman"/>
                <w:iCs w:val="0"/>
              </w:rPr>
              <w:t>(2)</w:t>
            </w:r>
          </w:p>
        </w:tc>
      </w:tr>
    </w:tbl>
    <w:p w14:paraId="2BAE5C0E" w14:textId="77777777" w:rsidR="00D365D2" w:rsidRDefault="00D365D2" w:rsidP="00D365D2">
      <w:pPr>
        <w:widowControl/>
        <w:wordWrap/>
        <w:autoSpaceDE/>
        <w:autoSpaceDN/>
        <w:rPr>
          <w:rFonts w:eastAsia="Calibri" w:cs="Times New Roman"/>
          <w:kern w:val="0"/>
          <w:szCs w:val="20"/>
          <w:lang w:val="en-GB" w:eastAsia="en-US"/>
        </w:rPr>
      </w:pPr>
    </w:p>
    <w:p w14:paraId="219D3EDD" w14:textId="77777777" w:rsidR="00A0461A" w:rsidRDefault="00A0461A" w:rsidP="00BB70CD">
      <w:pPr>
        <w:widowControl/>
        <w:wordWrap/>
        <w:autoSpaceDE/>
        <w:autoSpaceDN/>
        <w:rPr>
          <w:rFonts w:eastAsia="Calibri" w:cs="Times New Roman"/>
          <w:kern w:val="0"/>
          <w:szCs w:val="20"/>
          <w:lang w:val="en-GB" w:eastAsia="en-US"/>
        </w:rPr>
      </w:pPr>
    </w:p>
    <w:p w14:paraId="07E504ED" w14:textId="77777777" w:rsidR="00A0461A" w:rsidRDefault="00A0461A" w:rsidP="00BB70CD">
      <w:pPr>
        <w:widowControl/>
        <w:wordWrap/>
        <w:autoSpaceDE/>
        <w:autoSpaceDN/>
        <w:rPr>
          <w:rFonts w:eastAsia="Calibri" w:cs="Times New Roman"/>
          <w:kern w:val="0"/>
          <w:szCs w:val="20"/>
          <w:lang w:val="en-GB" w:eastAsia="en-US"/>
        </w:rPr>
      </w:pPr>
    </w:p>
    <w:p w14:paraId="661C3D81" w14:textId="77777777" w:rsidR="00A0461A" w:rsidRDefault="00A0461A" w:rsidP="00BB70CD">
      <w:pPr>
        <w:widowControl/>
        <w:wordWrap/>
        <w:autoSpaceDE/>
        <w:autoSpaceDN/>
        <w:rPr>
          <w:rFonts w:eastAsia="Calibri" w:cs="Times New Roman"/>
          <w:kern w:val="0"/>
          <w:szCs w:val="20"/>
          <w:lang w:val="en-GB" w:eastAsia="en-US"/>
        </w:rPr>
      </w:pPr>
    </w:p>
    <w:p w14:paraId="47C144F4" w14:textId="77777777" w:rsidR="00A0461A" w:rsidRDefault="00A0461A" w:rsidP="00BB70CD">
      <w:pPr>
        <w:widowControl/>
        <w:wordWrap/>
        <w:autoSpaceDE/>
        <w:autoSpaceDN/>
        <w:rPr>
          <w:rFonts w:eastAsia="Calibri" w:cs="Times New Roman"/>
          <w:kern w:val="0"/>
          <w:szCs w:val="20"/>
          <w:lang w:val="en-GB" w:eastAsia="en-US"/>
        </w:rPr>
      </w:pPr>
    </w:p>
    <w:p w14:paraId="1167CC18" w14:textId="64706AE2" w:rsidR="000C0172" w:rsidRDefault="00D365D2" w:rsidP="00BB70CD">
      <w:pPr>
        <w:widowControl/>
        <w:wordWrap/>
        <w:autoSpaceDE/>
        <w:autoSpaceDN/>
        <w:rPr>
          <w:rFonts w:eastAsia="Calibri" w:cs="Times New Roman"/>
          <w:kern w:val="0"/>
          <w:szCs w:val="20"/>
          <w:lang w:val="en-GB" w:eastAsia="en-US"/>
        </w:rPr>
      </w:pPr>
      <w:r w:rsidRPr="00D365D2">
        <w:rPr>
          <w:rFonts w:eastAsia="Calibri" w:cs="Times New Roman"/>
          <w:kern w:val="0"/>
          <w:szCs w:val="20"/>
          <w:lang w:val="en-GB" w:eastAsia="en-US"/>
        </w:rPr>
        <w:t>where, σ is the standard deviation of intercept of calibration plot and S is the average of the slope of the corresponding calibration plot.</w:t>
      </w:r>
    </w:p>
    <w:p w14:paraId="560D7275" w14:textId="77777777" w:rsidR="00423743" w:rsidRDefault="00423743" w:rsidP="00BB70CD">
      <w:pPr>
        <w:widowControl/>
        <w:wordWrap/>
        <w:autoSpaceDE/>
        <w:autoSpaceDN/>
        <w:rPr>
          <w:rFonts w:eastAsia="Calibri" w:cs="Times New Roman"/>
          <w:kern w:val="0"/>
          <w:szCs w:val="20"/>
          <w:lang w:val="en-GB" w:eastAsia="en-US"/>
        </w:rPr>
      </w:pPr>
    </w:p>
    <w:p w14:paraId="5CECE61E" w14:textId="77777777" w:rsidR="000C0172" w:rsidRDefault="0051575E" w:rsidP="000C0172">
      <w:pPr>
        <w:jc w:val="left"/>
        <w:outlineLvl w:val="0"/>
        <w:rPr>
          <w:rFonts w:cs="Times New Roman"/>
          <w:b/>
        </w:rPr>
      </w:pPr>
      <w:r>
        <w:rPr>
          <w:rFonts w:cs="Times New Roman"/>
          <w:b/>
        </w:rPr>
        <w:t>Precision and r</w:t>
      </w:r>
      <w:r w:rsidR="00BB70CD">
        <w:rPr>
          <w:rFonts w:cs="Times New Roman"/>
          <w:b/>
        </w:rPr>
        <w:t>epeatability test</w:t>
      </w:r>
    </w:p>
    <w:p w14:paraId="0744F128" w14:textId="77777777" w:rsidR="00423528" w:rsidRDefault="00D365D2" w:rsidP="00423528">
      <w:pPr>
        <w:widowControl/>
        <w:wordWrap/>
        <w:autoSpaceDE/>
        <w:autoSpaceDN/>
        <w:rPr>
          <w:rFonts w:eastAsia="Calibri" w:cs="Times New Roman"/>
          <w:kern w:val="0"/>
          <w:szCs w:val="20"/>
          <w:lang w:val="en-GB" w:eastAsia="en-US"/>
        </w:rPr>
      </w:pPr>
      <w:r w:rsidRPr="00D365D2">
        <w:rPr>
          <w:rFonts w:eastAsia="Calibri" w:cs="Times New Roman"/>
          <w:kern w:val="0"/>
          <w:szCs w:val="20"/>
          <w:lang w:val="en-GB" w:eastAsia="en-US"/>
        </w:rPr>
        <w:t>Intra-day (n = 3) and inter-day (n = 3) variation studies were determined by evaluating precision</w:t>
      </w:r>
      <w:r w:rsidR="0051575E">
        <w:rPr>
          <w:rFonts w:eastAsia="Calibri" w:cs="Times New Roman"/>
          <w:kern w:val="0"/>
          <w:szCs w:val="20"/>
          <w:lang w:val="en-GB" w:eastAsia="en-US"/>
        </w:rPr>
        <w:t xml:space="preserve"> and repeatability</w:t>
      </w:r>
      <w:r w:rsidRPr="00D365D2">
        <w:rPr>
          <w:rFonts w:eastAsia="Calibri" w:cs="Times New Roman"/>
          <w:kern w:val="0"/>
          <w:szCs w:val="20"/>
          <w:lang w:val="en-GB" w:eastAsia="en-US"/>
        </w:rPr>
        <w:t xml:space="preserve"> over one and three days, respective</w:t>
      </w:r>
      <w:r w:rsidR="00077582">
        <w:rPr>
          <w:rFonts w:eastAsia="Calibri" w:cs="Times New Roman"/>
          <w:kern w:val="0"/>
          <w:szCs w:val="20"/>
          <w:lang w:val="en-GB" w:eastAsia="en-US"/>
        </w:rPr>
        <w:t xml:space="preserve">ly. Standard concentrations of DTX </w:t>
      </w:r>
      <w:r w:rsidRPr="00D365D2">
        <w:rPr>
          <w:rFonts w:eastAsia="Calibri" w:cs="Times New Roman"/>
          <w:kern w:val="0"/>
          <w:szCs w:val="20"/>
          <w:lang w:val="en-GB" w:eastAsia="en-US"/>
        </w:rPr>
        <w:t>were prepared accordance wit</w:t>
      </w:r>
      <w:r w:rsidR="00077582">
        <w:rPr>
          <w:rFonts w:eastAsia="Calibri" w:cs="Times New Roman"/>
          <w:kern w:val="0"/>
          <w:szCs w:val="20"/>
          <w:lang w:val="en-GB" w:eastAsia="en-US"/>
        </w:rPr>
        <w:t xml:space="preserve">h the method as described in preparation of standard solution section </w:t>
      </w:r>
      <w:r w:rsidRPr="00D365D2">
        <w:rPr>
          <w:rFonts w:eastAsia="Calibri" w:cs="Times New Roman"/>
          <w:kern w:val="0"/>
          <w:szCs w:val="20"/>
          <w:lang w:val="en-GB" w:eastAsia="en-US"/>
        </w:rPr>
        <w:t xml:space="preserve">and were analysed using HPLC method as described </w:t>
      </w:r>
      <w:r w:rsidR="00077582">
        <w:rPr>
          <w:rFonts w:eastAsia="Calibri" w:cs="Times New Roman"/>
          <w:kern w:val="0"/>
          <w:szCs w:val="20"/>
          <w:lang w:val="en-GB" w:eastAsia="en-US"/>
        </w:rPr>
        <w:t xml:space="preserve">above. </w:t>
      </w:r>
      <w:r w:rsidRPr="00D365D2">
        <w:rPr>
          <w:rFonts w:eastAsia="Calibri" w:cs="Times New Roman"/>
          <w:kern w:val="0"/>
          <w:szCs w:val="20"/>
          <w:lang w:val="en-GB" w:eastAsia="en-US"/>
        </w:rPr>
        <w:t>The percentage of coefficient of variation (%CV) was calculated for each sample analysed in order to evaluate the closeness of the analytes response obtained from the same measurement procedures and cond</w:t>
      </w:r>
      <w:r w:rsidR="00077582">
        <w:rPr>
          <w:rFonts w:eastAsia="Calibri" w:cs="Times New Roman"/>
          <w:kern w:val="0"/>
          <w:szCs w:val="20"/>
          <w:lang w:val="en-GB" w:eastAsia="en-US"/>
        </w:rPr>
        <w:t>itions</w:t>
      </w:r>
      <w:r w:rsidRPr="00D365D2">
        <w:rPr>
          <w:rFonts w:eastAsia="Calibri" w:cs="Times New Roman"/>
          <w:kern w:val="0"/>
          <w:szCs w:val="20"/>
          <w:lang w:val="en-GB" w:eastAsia="en-US"/>
        </w:rPr>
        <w:t>. The %CV was calculated using the following formula:</w:t>
      </w:r>
    </w:p>
    <w:tbl>
      <w:tblPr>
        <w:tblStyle w:val="TableGrid"/>
        <w:tblpPr w:leftFromText="180" w:rightFromText="180" w:vertAnchor="text" w:horzAnchor="margin" w:tblpY="15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78"/>
        <w:gridCol w:w="2402"/>
      </w:tblGrid>
      <w:tr w:rsidR="00A0461A" w14:paraId="5E82B905" w14:textId="77777777" w:rsidTr="00A0461A">
        <w:trPr>
          <w:trHeight w:val="614"/>
        </w:trPr>
        <w:tc>
          <w:tcPr>
            <w:tcW w:w="6778" w:type="dxa"/>
          </w:tcPr>
          <w:p w14:paraId="589BE39C" w14:textId="53934187" w:rsidR="00A0461A" w:rsidRPr="00A0461A" w:rsidRDefault="00A0461A" w:rsidP="00A0461A">
            <w:pPr>
              <w:widowControl/>
              <w:wordWrap/>
              <w:autoSpaceDE/>
              <w:autoSpaceDN/>
              <w:jc w:val="center"/>
              <w:rPr>
                <w:rFonts w:eastAsia="Times New Roman" w:cs="Times New Roman"/>
                <w:bCs/>
                <w:i/>
                <w:iCs/>
                <w:kern w:val="0"/>
                <w:szCs w:val="20"/>
                <w:lang w:val="en-GB" w:eastAsia="en-US"/>
              </w:rPr>
            </w:pPr>
            <m:oMathPara>
              <m:oMathParaPr>
                <m:jc m:val="left"/>
              </m:oMathParaPr>
              <m:oMath>
                <m:r>
                  <w:rPr>
                    <w:rFonts w:ascii="Cambria Math" w:eastAsia="Calibri" w:hAnsi="Cambria Math" w:cs="Times New Roman"/>
                    <w:kern w:val="0"/>
                    <w:szCs w:val="20"/>
                    <w:lang w:val="en-GB" w:eastAsia="en-US"/>
                  </w:rPr>
                  <m:t xml:space="preserve">               </m:t>
                </m:r>
                <m:r>
                  <m:rPr>
                    <m:nor/>
                  </m:rPr>
                  <w:rPr>
                    <w:rFonts w:eastAsia="Calibri" w:cs="Times New Roman"/>
                    <w:bCs/>
                    <w:iCs/>
                    <w:kern w:val="0"/>
                    <w:szCs w:val="20"/>
                    <w:lang w:val="en-GB" w:eastAsia="en-US"/>
                  </w:rPr>
                  <m:t>%CV =</m:t>
                </m:r>
                <m:r>
                  <m:rPr>
                    <m:nor/>
                  </m:rPr>
                  <w:rPr>
                    <w:rFonts w:ascii="Cambria Math" w:eastAsia="Calibri" w:cs="Times New Roman"/>
                    <w:bCs/>
                    <w:iCs/>
                    <w:kern w:val="0"/>
                    <w:szCs w:val="20"/>
                    <w:lang w:val="en-GB" w:eastAsia="en-US"/>
                  </w:rPr>
                  <m:t xml:space="preserve"> </m:t>
                </m:r>
                <m:r>
                  <m:rPr>
                    <m:nor/>
                  </m:rPr>
                  <w:rPr>
                    <w:rFonts w:eastAsia="Calibri" w:cs="Times New Roman"/>
                    <w:bCs/>
                    <w:iCs/>
                    <w:kern w:val="0"/>
                    <w:szCs w:val="20"/>
                    <w:lang w:val="en-GB" w:eastAsia="en-US"/>
                  </w:rPr>
                  <m:t>(σ/µ) ×</m:t>
                </m:r>
                <m:r>
                  <m:rPr>
                    <m:nor/>
                  </m:rPr>
                  <w:rPr>
                    <w:rFonts w:ascii="Cambria Math" w:eastAsia="Calibri" w:cs="Times New Roman"/>
                    <w:bCs/>
                    <w:iCs/>
                    <w:kern w:val="0"/>
                    <w:szCs w:val="20"/>
                    <w:lang w:val="en-GB" w:eastAsia="en-US"/>
                  </w:rPr>
                  <m:t xml:space="preserve"> </m:t>
                </m:r>
                <m:r>
                  <m:rPr>
                    <m:nor/>
                  </m:rPr>
                  <w:rPr>
                    <w:rFonts w:eastAsia="Calibri" w:cs="Times New Roman"/>
                    <w:bCs/>
                    <w:iCs/>
                    <w:kern w:val="0"/>
                    <w:szCs w:val="20"/>
                    <w:lang w:val="en-GB" w:eastAsia="en-US"/>
                  </w:rPr>
                  <m:t>10</m:t>
                </m:r>
                <m:r>
                  <m:rPr>
                    <m:nor/>
                  </m:rPr>
                  <w:rPr>
                    <w:rFonts w:eastAsia="Calibri" w:cs="Times New Roman"/>
                    <w:bCs/>
                    <w:iCs/>
                    <w:kern w:val="0"/>
                    <w:szCs w:val="20"/>
                    <w:lang w:val="en-GB" w:eastAsia="en-US"/>
                  </w:rPr>
                  <m:t>0</m:t>
                </m:r>
              </m:oMath>
            </m:oMathPara>
          </w:p>
        </w:tc>
        <w:tc>
          <w:tcPr>
            <w:tcW w:w="2402" w:type="dxa"/>
          </w:tcPr>
          <w:p w14:paraId="6F77B5B4" w14:textId="3BDA1CFE" w:rsidR="00A0461A" w:rsidRPr="00051E91" w:rsidRDefault="00A0461A" w:rsidP="00A0461A">
            <w:pPr>
              <w:pStyle w:val="Caption"/>
              <w:rPr>
                <w:rFonts w:eastAsia="Calibri" w:cs="Times New Roman"/>
                <w:kern w:val="0"/>
                <w:szCs w:val="20"/>
                <w:lang w:val="en-GB" w:eastAsia="en-US"/>
              </w:rPr>
            </w:pPr>
            <w:r>
              <w:rPr>
                <w:rFonts w:cs="Times New Roman"/>
              </w:rPr>
              <w:t xml:space="preserve">                                       </w:t>
            </w:r>
            <w:r>
              <w:rPr>
                <w:rFonts w:cs="Times New Roman"/>
              </w:rPr>
              <w:t>(3)</w:t>
            </w:r>
          </w:p>
        </w:tc>
      </w:tr>
    </w:tbl>
    <w:p w14:paraId="5294B1F9" w14:textId="5313E017" w:rsidR="000C0172" w:rsidRPr="00077582" w:rsidRDefault="00D365D2" w:rsidP="00AA4A76">
      <w:pPr>
        <w:widowControl/>
        <w:wordWrap/>
        <w:autoSpaceDE/>
        <w:autoSpaceDN/>
        <w:rPr>
          <w:rFonts w:eastAsia="Calibri" w:cs="Times New Roman"/>
          <w:kern w:val="0"/>
          <w:szCs w:val="20"/>
          <w:lang w:val="en-GB" w:eastAsia="en-US"/>
        </w:rPr>
      </w:pPr>
      <w:r w:rsidRPr="00D365D2">
        <w:rPr>
          <w:rFonts w:eastAsia="Calibri" w:cs="Times New Roman"/>
          <w:kern w:val="0"/>
          <w:szCs w:val="20"/>
          <w:lang w:val="en-GB" w:eastAsia="en-US"/>
        </w:rPr>
        <w:t xml:space="preserve">where, σ is the standard deviation and µ is the sample mean.   </w:t>
      </w:r>
    </w:p>
    <w:p w14:paraId="2D7C762C" w14:textId="77777777" w:rsidR="00D365D2" w:rsidRDefault="00D365D2" w:rsidP="000C0172">
      <w:pPr>
        <w:jc w:val="left"/>
        <w:outlineLvl w:val="0"/>
        <w:rPr>
          <w:rFonts w:cs="Times New Roman"/>
          <w:b/>
        </w:rPr>
      </w:pPr>
    </w:p>
    <w:p w14:paraId="1ACE5239" w14:textId="77777777" w:rsidR="000C0172" w:rsidRDefault="000C0172" w:rsidP="000C0172">
      <w:pPr>
        <w:jc w:val="left"/>
        <w:outlineLvl w:val="0"/>
        <w:rPr>
          <w:rFonts w:cs="Times New Roman"/>
          <w:b/>
        </w:rPr>
      </w:pPr>
      <w:r>
        <w:rPr>
          <w:rFonts w:cs="Times New Roman"/>
          <w:b/>
        </w:rPr>
        <w:t>Accuracy test</w:t>
      </w:r>
    </w:p>
    <w:p w14:paraId="78351F2F" w14:textId="77777777" w:rsidR="00BB70CD" w:rsidRPr="00BB70CD" w:rsidRDefault="00BB70CD" w:rsidP="00BB70CD">
      <w:pPr>
        <w:widowControl/>
        <w:wordWrap/>
        <w:autoSpaceDE/>
        <w:autoSpaceDN/>
        <w:rPr>
          <w:rFonts w:eastAsia="Calibri" w:cs="Times New Roman"/>
          <w:kern w:val="0"/>
          <w:szCs w:val="20"/>
          <w:lang w:val="en-GB" w:eastAsia="en-US"/>
        </w:rPr>
      </w:pPr>
      <w:r w:rsidRPr="00BB70CD">
        <w:rPr>
          <w:rFonts w:eastAsia="Calibri" w:cs="Times New Roman"/>
          <w:kern w:val="0"/>
          <w:szCs w:val="20"/>
          <w:lang w:val="en-GB" w:eastAsia="en-US"/>
        </w:rPr>
        <w:t xml:space="preserve">The recovery studies were carried out in triplicates by adding 62.5 µg/mL of analyte to four standard concentrations of 125, 250, 500 and 1000 µg/mL; thus, the final nominal concentrations were 93.75, 156.25, 281.25 and 531.25 µg/mL. The concentration of </w:t>
      </w:r>
      <w:r>
        <w:rPr>
          <w:rFonts w:eastAsia="Calibri" w:cs="Times New Roman"/>
          <w:kern w:val="0"/>
          <w:szCs w:val="20"/>
          <w:lang w:val="en-GB" w:eastAsia="en-US"/>
        </w:rPr>
        <w:t xml:space="preserve">DTX </w:t>
      </w:r>
      <w:r w:rsidRPr="00BB70CD">
        <w:rPr>
          <w:rFonts w:eastAsia="Calibri" w:cs="Times New Roman"/>
          <w:kern w:val="0"/>
          <w:szCs w:val="20"/>
          <w:lang w:val="en-GB" w:eastAsia="en-US"/>
        </w:rPr>
        <w:t>in prepared solutions was analysed using HPL</w:t>
      </w:r>
      <w:r>
        <w:rPr>
          <w:rFonts w:eastAsia="Calibri" w:cs="Times New Roman"/>
          <w:kern w:val="0"/>
          <w:szCs w:val="20"/>
          <w:lang w:val="en-GB" w:eastAsia="en-US"/>
        </w:rPr>
        <w:t>C method as described above</w:t>
      </w:r>
      <w:r w:rsidRPr="00BB70CD">
        <w:rPr>
          <w:rFonts w:eastAsia="Calibri" w:cs="Times New Roman"/>
          <w:kern w:val="0"/>
          <w:szCs w:val="20"/>
          <w:lang w:val="en-GB" w:eastAsia="en-US"/>
        </w:rPr>
        <w:t xml:space="preserve"> and the mean percent recovery was then calculated. According to the </w:t>
      </w:r>
      <w:r w:rsidR="001C00E4">
        <w:rPr>
          <w:rFonts w:eastAsia="Calibri" w:cs="Times New Roman"/>
          <w:kern w:val="0"/>
          <w:szCs w:val="20"/>
          <w:lang w:val="en-GB" w:eastAsia="en-US"/>
        </w:rPr>
        <w:t xml:space="preserve">ICH </w:t>
      </w:r>
      <w:r w:rsidRPr="00BB70CD">
        <w:rPr>
          <w:rFonts w:eastAsia="Calibri" w:cs="Times New Roman"/>
          <w:kern w:val="0"/>
          <w:szCs w:val="20"/>
          <w:lang w:val="en-GB" w:eastAsia="en-US"/>
        </w:rPr>
        <w:t>guidelines, accuracy is the closeness of agreement between the analyte of known concentration and the values found. The acceptance mean value should be within 15% of the nominal values.</w:t>
      </w:r>
    </w:p>
    <w:p w14:paraId="28FA3D0B" w14:textId="77777777" w:rsidR="000C0172" w:rsidRDefault="000C0172" w:rsidP="000C0172">
      <w:pPr>
        <w:jc w:val="left"/>
        <w:outlineLvl w:val="0"/>
        <w:rPr>
          <w:rFonts w:cs="Times New Roman"/>
          <w:b/>
        </w:rPr>
      </w:pPr>
    </w:p>
    <w:p w14:paraId="2304A949" w14:textId="77777777" w:rsidR="000C0172" w:rsidRDefault="003613A1" w:rsidP="000C0172">
      <w:pPr>
        <w:jc w:val="left"/>
        <w:outlineLvl w:val="0"/>
        <w:rPr>
          <w:rFonts w:cs="Times New Roman"/>
          <w:b/>
        </w:rPr>
      </w:pPr>
      <w:r>
        <w:rPr>
          <w:rFonts w:cs="Times New Roman"/>
          <w:b/>
        </w:rPr>
        <w:t>Cascade impactor analysis</w:t>
      </w:r>
    </w:p>
    <w:p w14:paraId="0073963F" w14:textId="34727504" w:rsidR="00E570AF" w:rsidRDefault="00E04F71" w:rsidP="00A0461A">
      <w:pPr>
        <w:widowControl/>
        <w:wordWrap/>
        <w:autoSpaceDE/>
        <w:autoSpaceDN/>
        <w:rPr>
          <w:rFonts w:eastAsia="Calibri" w:cs="Times New Roman"/>
          <w:kern w:val="0"/>
          <w:szCs w:val="20"/>
          <w:lang w:val="en-GB" w:eastAsia="en-US"/>
        </w:rPr>
      </w:pPr>
      <w:r>
        <w:rPr>
          <w:rFonts w:eastAsia="Calibri" w:cs="Times New Roman"/>
          <w:kern w:val="0"/>
          <w:szCs w:val="20"/>
          <w:lang w:val="en-GB" w:eastAsia="en-US"/>
        </w:rPr>
        <w:t>The evaluation of aerosolization performance of the palm-based nanoemulsion formulation was performed using eight –stage Andersen cascade impactor (ACI; Copley Scientific Ltd, UK). A sample of 3 mL was nebulized via OMRON MicroAIR nebulizer into the ACI that connected to vacuum pump with flow rate of 15 L/min on a continuous mode. The drug content on each stage of ACI including inlet cone, induction port, mouthpiece and adapter</w:t>
      </w:r>
      <w:r w:rsidR="00210F08">
        <w:rPr>
          <w:rFonts w:eastAsia="Calibri" w:cs="Times New Roman"/>
          <w:kern w:val="0"/>
          <w:szCs w:val="20"/>
          <w:lang w:val="en-GB" w:eastAsia="en-US"/>
        </w:rPr>
        <w:t xml:space="preserve"> were quantitated using</w:t>
      </w:r>
      <w:r w:rsidR="00210F08" w:rsidRPr="00210F08">
        <w:rPr>
          <w:rFonts w:eastAsia="Calibri" w:cs="Times New Roman"/>
          <w:kern w:val="0"/>
          <w:szCs w:val="20"/>
          <w:lang w:val="en-GB" w:eastAsia="en-US"/>
        </w:rPr>
        <w:t xml:space="preserve"> HPLC method as described above</w:t>
      </w:r>
      <w:r w:rsidR="00210F08">
        <w:rPr>
          <w:rFonts w:eastAsia="Calibri" w:cs="Times New Roman"/>
          <w:kern w:val="0"/>
          <w:szCs w:val="20"/>
          <w:lang w:val="en-GB" w:eastAsia="en-US"/>
        </w:rPr>
        <w:t xml:space="preserve">. The aerosolization properties </w:t>
      </w:r>
      <w:r w:rsidR="00AE4909">
        <w:rPr>
          <w:rFonts w:eastAsia="Calibri" w:cs="Times New Roman"/>
          <w:kern w:val="0"/>
          <w:szCs w:val="20"/>
          <w:lang w:val="en-GB" w:eastAsia="en-US"/>
        </w:rPr>
        <w:t xml:space="preserve">including emitted </w:t>
      </w:r>
      <w:r w:rsidR="00A420C4">
        <w:rPr>
          <w:rFonts w:eastAsia="Calibri" w:cs="Times New Roman"/>
          <w:kern w:val="0"/>
          <w:szCs w:val="20"/>
          <w:lang w:val="en-GB" w:eastAsia="en-US"/>
        </w:rPr>
        <w:t>dose (ED), deposited dose (DD)</w:t>
      </w:r>
      <w:r w:rsidR="00FB0890">
        <w:rPr>
          <w:rFonts w:eastAsia="Calibri" w:cs="Times New Roman"/>
          <w:kern w:val="0"/>
          <w:szCs w:val="20"/>
          <w:lang w:val="en-GB" w:eastAsia="en-US"/>
        </w:rPr>
        <w:t xml:space="preserve"> and</w:t>
      </w:r>
      <w:r w:rsidR="00A420C4">
        <w:rPr>
          <w:rFonts w:eastAsia="Calibri" w:cs="Times New Roman"/>
          <w:kern w:val="0"/>
          <w:szCs w:val="20"/>
          <w:lang w:val="en-GB" w:eastAsia="en-US"/>
        </w:rPr>
        <w:t xml:space="preserve"> </w:t>
      </w:r>
      <w:r w:rsidR="00F11C97">
        <w:rPr>
          <w:rFonts w:eastAsia="Calibri" w:cs="Times New Roman"/>
          <w:kern w:val="0"/>
          <w:szCs w:val="20"/>
          <w:lang w:val="en-GB" w:eastAsia="en-US"/>
        </w:rPr>
        <w:t xml:space="preserve">fine particle dose less than 5 </w:t>
      </w:r>
      <w:r w:rsidR="00F11C97">
        <w:rPr>
          <w:rFonts w:ascii="Calibri" w:eastAsia="Calibri" w:hAnsi="Calibri" w:cs="Calibri"/>
          <w:kern w:val="0"/>
          <w:szCs w:val="20"/>
          <w:lang w:val="en-GB" w:eastAsia="en-US"/>
        </w:rPr>
        <w:t>µ</w:t>
      </w:r>
      <w:r w:rsidR="00F11C97">
        <w:rPr>
          <w:rFonts w:eastAsia="Calibri" w:cs="Times New Roman"/>
          <w:kern w:val="0"/>
          <w:szCs w:val="20"/>
          <w:lang w:val="en-GB" w:eastAsia="en-US"/>
        </w:rPr>
        <w:t>m (FPD</w:t>
      </w:r>
      <w:r w:rsidR="00F11C97" w:rsidRPr="00F11C97">
        <w:rPr>
          <w:rFonts w:eastAsia="Calibri" w:cs="Times New Roman"/>
          <w:kern w:val="0"/>
          <w:szCs w:val="20"/>
          <w:vertAlign w:val="subscript"/>
          <w:lang w:val="en-GB" w:eastAsia="en-US"/>
        </w:rPr>
        <w:t xml:space="preserve">&lt;5 </w:t>
      </w:r>
      <w:r w:rsidR="00F11C97" w:rsidRPr="00F11C97">
        <w:rPr>
          <w:rFonts w:ascii="Calibri" w:eastAsia="Calibri" w:hAnsi="Calibri" w:cs="Calibri"/>
          <w:kern w:val="0"/>
          <w:szCs w:val="20"/>
          <w:vertAlign w:val="subscript"/>
          <w:lang w:val="en-GB" w:eastAsia="en-US"/>
        </w:rPr>
        <w:t>µ</w:t>
      </w:r>
      <w:r w:rsidR="00F11C97" w:rsidRPr="00F11C97">
        <w:rPr>
          <w:rFonts w:eastAsia="Calibri" w:cs="Times New Roman"/>
          <w:kern w:val="0"/>
          <w:szCs w:val="20"/>
          <w:vertAlign w:val="subscript"/>
          <w:lang w:val="en-GB" w:eastAsia="en-US"/>
        </w:rPr>
        <w:t>m</w:t>
      </w:r>
      <w:r w:rsidR="00A420C4">
        <w:rPr>
          <w:rFonts w:eastAsia="Calibri" w:cs="Times New Roman"/>
          <w:kern w:val="0"/>
          <w:szCs w:val="20"/>
          <w:lang w:val="en-GB" w:eastAsia="en-US"/>
        </w:rPr>
        <w:t>)</w:t>
      </w:r>
      <w:r w:rsidR="00F11C97">
        <w:rPr>
          <w:rFonts w:eastAsia="Calibri" w:cs="Times New Roman"/>
          <w:kern w:val="0"/>
          <w:szCs w:val="20"/>
          <w:lang w:val="en-GB" w:eastAsia="en-US"/>
        </w:rPr>
        <w:t xml:space="preserve"> were calculate</w:t>
      </w:r>
      <w:r w:rsidR="002A04E1">
        <w:rPr>
          <w:rFonts w:eastAsia="Calibri" w:cs="Times New Roman"/>
          <w:kern w:val="0"/>
          <w:szCs w:val="20"/>
          <w:lang w:val="en-GB" w:eastAsia="en-US"/>
        </w:rPr>
        <w:t>d. The ED depicted as the cumulative</w:t>
      </w:r>
      <w:r w:rsidR="00900CE0">
        <w:rPr>
          <w:rFonts w:eastAsia="Calibri" w:cs="Times New Roman"/>
          <w:kern w:val="0"/>
          <w:szCs w:val="20"/>
          <w:lang w:val="en-GB" w:eastAsia="en-US"/>
        </w:rPr>
        <w:t xml:space="preserve"> percentage</w:t>
      </w:r>
      <w:r w:rsidR="002A04E1">
        <w:rPr>
          <w:rFonts w:eastAsia="Calibri" w:cs="Times New Roman"/>
          <w:kern w:val="0"/>
          <w:szCs w:val="20"/>
          <w:lang w:val="en-GB" w:eastAsia="en-US"/>
        </w:rPr>
        <w:t xml:space="preserve"> of DTX content collected from</w:t>
      </w:r>
      <w:r w:rsidR="00D438E7">
        <w:rPr>
          <w:rFonts w:eastAsia="Calibri" w:cs="Times New Roman"/>
          <w:kern w:val="0"/>
          <w:szCs w:val="20"/>
          <w:lang w:val="en-GB" w:eastAsia="en-US"/>
        </w:rPr>
        <w:t xml:space="preserve"> </w:t>
      </w:r>
      <w:r w:rsidR="002A04E1">
        <w:rPr>
          <w:rFonts w:eastAsia="Calibri" w:cs="Times New Roman"/>
          <w:kern w:val="0"/>
          <w:szCs w:val="20"/>
          <w:lang w:val="en-GB" w:eastAsia="en-US"/>
        </w:rPr>
        <w:t>induction port, all stages (0 – 7) and the filter, while DD was the cum</w:t>
      </w:r>
      <w:r w:rsidR="000E434A">
        <w:rPr>
          <w:rFonts w:eastAsia="Calibri" w:cs="Times New Roman"/>
          <w:kern w:val="0"/>
          <w:szCs w:val="20"/>
          <w:lang w:val="en-GB" w:eastAsia="en-US"/>
        </w:rPr>
        <w:t xml:space="preserve">ulative </w:t>
      </w:r>
      <w:r w:rsidR="00900CE0">
        <w:rPr>
          <w:rFonts w:eastAsia="Calibri" w:cs="Times New Roman"/>
          <w:kern w:val="0"/>
          <w:szCs w:val="20"/>
          <w:lang w:val="en-GB" w:eastAsia="en-US"/>
        </w:rPr>
        <w:t xml:space="preserve">percentage </w:t>
      </w:r>
      <w:r w:rsidR="000E434A">
        <w:rPr>
          <w:rFonts w:eastAsia="Calibri" w:cs="Times New Roman"/>
          <w:kern w:val="0"/>
          <w:szCs w:val="20"/>
          <w:lang w:val="en-GB" w:eastAsia="en-US"/>
        </w:rPr>
        <w:t>of DTX content deposited</w:t>
      </w:r>
      <w:r w:rsidR="002A04E1">
        <w:rPr>
          <w:rFonts w:eastAsia="Calibri" w:cs="Times New Roman"/>
          <w:kern w:val="0"/>
          <w:szCs w:val="20"/>
          <w:lang w:val="en-GB" w:eastAsia="en-US"/>
        </w:rPr>
        <w:t xml:space="preserve"> on all stages (0 – 7) and the filter. The </w:t>
      </w:r>
      <w:r w:rsidR="00C27A77">
        <w:rPr>
          <w:rFonts w:eastAsia="Calibri" w:cs="Times New Roman"/>
          <w:kern w:val="0"/>
          <w:szCs w:val="20"/>
          <w:lang w:val="en-GB" w:eastAsia="en-US"/>
        </w:rPr>
        <w:t>FPD</w:t>
      </w:r>
      <w:r w:rsidR="00C27A77" w:rsidRPr="00F11C97">
        <w:rPr>
          <w:rFonts w:eastAsia="Calibri" w:cs="Times New Roman"/>
          <w:kern w:val="0"/>
          <w:szCs w:val="20"/>
          <w:vertAlign w:val="subscript"/>
          <w:lang w:val="en-GB" w:eastAsia="en-US"/>
        </w:rPr>
        <w:t>&lt;</w:t>
      </w:r>
      <w:r w:rsidR="005543AA">
        <w:rPr>
          <w:rFonts w:eastAsia="Calibri" w:cs="Times New Roman"/>
          <w:kern w:val="0"/>
          <w:szCs w:val="20"/>
          <w:vertAlign w:val="subscript"/>
          <w:lang w:val="en-GB" w:eastAsia="en-US"/>
        </w:rPr>
        <w:t>5</w:t>
      </w:r>
      <w:r w:rsidR="00C27A77" w:rsidRPr="00F11C97">
        <w:rPr>
          <w:rFonts w:eastAsia="Calibri" w:cs="Times New Roman"/>
          <w:kern w:val="0"/>
          <w:szCs w:val="20"/>
          <w:vertAlign w:val="subscript"/>
          <w:lang w:val="en-GB" w:eastAsia="en-US"/>
        </w:rPr>
        <w:t xml:space="preserve"> </w:t>
      </w:r>
      <w:r w:rsidR="00C27A77" w:rsidRPr="00F11C97">
        <w:rPr>
          <w:rFonts w:ascii="Calibri" w:eastAsia="Calibri" w:hAnsi="Calibri" w:cs="Calibri"/>
          <w:kern w:val="0"/>
          <w:szCs w:val="20"/>
          <w:vertAlign w:val="subscript"/>
          <w:lang w:val="en-GB" w:eastAsia="en-US"/>
        </w:rPr>
        <w:t>µ</w:t>
      </w:r>
      <w:r w:rsidR="00C27A77" w:rsidRPr="00F11C97">
        <w:rPr>
          <w:rFonts w:eastAsia="Calibri" w:cs="Times New Roman"/>
          <w:kern w:val="0"/>
          <w:szCs w:val="20"/>
          <w:vertAlign w:val="subscript"/>
          <w:lang w:val="en-GB" w:eastAsia="en-US"/>
        </w:rPr>
        <w:t>m</w:t>
      </w:r>
      <w:r w:rsidR="00C27A77">
        <w:rPr>
          <w:rFonts w:eastAsia="Calibri" w:cs="Times New Roman"/>
          <w:kern w:val="0"/>
          <w:szCs w:val="20"/>
          <w:vertAlign w:val="subscript"/>
          <w:lang w:val="en-GB" w:eastAsia="en-US"/>
        </w:rPr>
        <w:t xml:space="preserve"> </w:t>
      </w:r>
      <w:r w:rsidR="00C27A77">
        <w:rPr>
          <w:rFonts w:eastAsia="Calibri" w:cs="Times New Roman"/>
          <w:kern w:val="0"/>
          <w:szCs w:val="20"/>
          <w:lang w:val="en-GB" w:eastAsia="en-US"/>
        </w:rPr>
        <w:t>w</w:t>
      </w:r>
      <w:r w:rsidR="00BF7AF8">
        <w:rPr>
          <w:rFonts w:eastAsia="Calibri" w:cs="Times New Roman"/>
          <w:kern w:val="0"/>
          <w:szCs w:val="20"/>
          <w:lang w:val="en-GB" w:eastAsia="en-US"/>
        </w:rPr>
        <w:t>as</w:t>
      </w:r>
      <w:r w:rsidR="00C27A77">
        <w:rPr>
          <w:rFonts w:eastAsia="Calibri" w:cs="Times New Roman"/>
          <w:kern w:val="0"/>
          <w:szCs w:val="20"/>
          <w:lang w:val="en-GB" w:eastAsia="en-US"/>
        </w:rPr>
        <w:t xml:space="preserve"> the </w:t>
      </w:r>
      <w:r w:rsidR="00900CE0">
        <w:rPr>
          <w:rFonts w:eastAsia="Calibri" w:cs="Times New Roman"/>
          <w:kern w:val="0"/>
          <w:szCs w:val="20"/>
          <w:lang w:val="en-GB" w:eastAsia="en-US"/>
        </w:rPr>
        <w:t xml:space="preserve">percentage of </w:t>
      </w:r>
      <w:r w:rsidR="000E434A">
        <w:rPr>
          <w:rFonts w:eastAsia="Calibri" w:cs="Times New Roman"/>
          <w:kern w:val="0"/>
          <w:szCs w:val="20"/>
          <w:lang w:val="en-GB" w:eastAsia="en-US"/>
        </w:rPr>
        <w:t>DTX deposited</w:t>
      </w:r>
      <w:r w:rsidR="00C27A77">
        <w:rPr>
          <w:rFonts w:eastAsia="Calibri" w:cs="Times New Roman"/>
          <w:kern w:val="0"/>
          <w:szCs w:val="20"/>
          <w:lang w:val="en-GB" w:eastAsia="en-US"/>
        </w:rPr>
        <w:t xml:space="preserve"> </w:t>
      </w:r>
      <w:r w:rsidR="00BF7AF8">
        <w:rPr>
          <w:rFonts w:eastAsia="Calibri" w:cs="Times New Roman"/>
          <w:kern w:val="0"/>
          <w:szCs w:val="20"/>
          <w:lang w:val="en-GB" w:eastAsia="en-US"/>
        </w:rPr>
        <w:t xml:space="preserve">on </w:t>
      </w:r>
      <w:r w:rsidR="00C27A77">
        <w:rPr>
          <w:rFonts w:eastAsia="Calibri" w:cs="Times New Roman"/>
          <w:kern w:val="0"/>
          <w:szCs w:val="20"/>
          <w:lang w:val="en-GB" w:eastAsia="en-US"/>
        </w:rPr>
        <w:t xml:space="preserve">stage </w:t>
      </w:r>
      <w:r w:rsidR="00D17CA9">
        <w:rPr>
          <w:rFonts w:eastAsia="Calibri" w:cs="Times New Roman"/>
          <w:kern w:val="0"/>
          <w:szCs w:val="20"/>
          <w:lang w:val="en-GB" w:eastAsia="en-US"/>
        </w:rPr>
        <w:t>3</w:t>
      </w:r>
      <w:r w:rsidR="00C27A77">
        <w:rPr>
          <w:rFonts w:eastAsia="Calibri" w:cs="Times New Roman"/>
          <w:kern w:val="0"/>
          <w:szCs w:val="20"/>
          <w:lang w:val="en-GB" w:eastAsia="en-US"/>
        </w:rPr>
        <w:t xml:space="preserve"> to filter. </w:t>
      </w:r>
    </w:p>
    <w:p w14:paraId="25FFE2C3" w14:textId="77777777" w:rsidR="00A0461A" w:rsidRPr="00A0461A" w:rsidRDefault="00A0461A" w:rsidP="00A0461A">
      <w:pPr>
        <w:widowControl/>
        <w:wordWrap/>
        <w:autoSpaceDE/>
        <w:autoSpaceDN/>
        <w:rPr>
          <w:rFonts w:eastAsia="Calibri" w:cs="Times New Roman"/>
          <w:kern w:val="0"/>
          <w:szCs w:val="20"/>
          <w:lang w:val="en-GB" w:eastAsia="en-US"/>
        </w:rPr>
      </w:pPr>
    </w:p>
    <w:p w14:paraId="6D5798FE" w14:textId="77777777" w:rsidR="0069775B" w:rsidRPr="00E570AF" w:rsidRDefault="00785CA6" w:rsidP="00F35D85">
      <w:pPr>
        <w:jc w:val="center"/>
        <w:outlineLvl w:val="0"/>
        <w:rPr>
          <w:rFonts w:cs="Times New Roman"/>
          <w:b/>
          <w:szCs w:val="20"/>
        </w:rPr>
      </w:pPr>
      <w:r w:rsidRPr="009176C7">
        <w:rPr>
          <w:rFonts w:cs="Times New Roman"/>
          <w:b/>
          <w:szCs w:val="20"/>
        </w:rPr>
        <w:t>Result</w:t>
      </w:r>
      <w:r w:rsidR="00AC15CA">
        <w:rPr>
          <w:rFonts w:cs="Times New Roman"/>
          <w:b/>
          <w:szCs w:val="20"/>
        </w:rPr>
        <w:t>s</w:t>
      </w:r>
      <w:r w:rsidRPr="009176C7">
        <w:rPr>
          <w:rFonts w:cs="Times New Roman"/>
          <w:b/>
          <w:szCs w:val="20"/>
        </w:rPr>
        <w:t xml:space="preserve"> and Discussion</w:t>
      </w:r>
    </w:p>
    <w:p w14:paraId="54954B9F" w14:textId="77777777" w:rsidR="00E51641" w:rsidRDefault="00C33A35" w:rsidP="0069775B">
      <w:r w:rsidRPr="00C33A35">
        <w:rPr>
          <w:rFonts w:cs="Times New Roman"/>
        </w:rPr>
        <w:t xml:space="preserve">The </w:t>
      </w:r>
      <w:r>
        <w:rPr>
          <w:rFonts w:cs="Times New Roman"/>
        </w:rPr>
        <w:t xml:space="preserve">HPLC method was developed to select chromatographic conditions including stationary phase, mobile phase and wavelength for detection. For this purpose, preliminary trials were performed by varying the conditions. After the optimization, the chromatographic conditions as described in previous section were used for the method validation. </w:t>
      </w:r>
      <w:r w:rsidR="00FA5ECE">
        <w:rPr>
          <w:rFonts w:cs="Times New Roman"/>
        </w:rPr>
        <w:t>Specificity was indicated by the absence of any significant interfer</w:t>
      </w:r>
      <w:r w:rsidR="005D7A62">
        <w:rPr>
          <w:rFonts w:cs="Times New Roman"/>
        </w:rPr>
        <w:t>ing peak</w:t>
      </w:r>
      <w:r w:rsidR="00FA5ECE">
        <w:rPr>
          <w:rFonts w:cs="Times New Roman"/>
        </w:rPr>
        <w:t xml:space="preserve"> in the chromatograms of blank sample and blank sample spiked with the analyte. </w:t>
      </w:r>
      <w:r w:rsidR="005D7A62">
        <w:rPr>
          <w:rFonts w:cs="Times New Roman"/>
        </w:rPr>
        <w:t>From the chromatogram of blank palm-based nanoemulsion sample, selectivity was proved as</w:t>
      </w:r>
      <w:r w:rsidR="00FA5ECE">
        <w:rPr>
          <w:rFonts w:cs="Times New Roman"/>
        </w:rPr>
        <w:t xml:space="preserve"> no </w:t>
      </w:r>
      <w:r w:rsidR="00835BD0">
        <w:rPr>
          <w:rFonts w:cs="Times New Roman"/>
        </w:rPr>
        <w:t xml:space="preserve">interfering </w:t>
      </w:r>
      <w:r w:rsidR="005D7A62">
        <w:rPr>
          <w:rFonts w:cs="Times New Roman"/>
        </w:rPr>
        <w:t>endogenous</w:t>
      </w:r>
      <w:r w:rsidR="00FA5ECE">
        <w:rPr>
          <w:rFonts w:cs="Times New Roman"/>
        </w:rPr>
        <w:t xml:space="preserve"> peaks were found at the retention time of DTX</w:t>
      </w:r>
      <w:r w:rsidR="005D7A62">
        <w:rPr>
          <w:rFonts w:cs="Times New Roman"/>
        </w:rPr>
        <w:t>, which was eluted at 3.12 minutes (Figure 1)</w:t>
      </w:r>
      <w:r w:rsidR="00E61A63">
        <w:rPr>
          <w:rFonts w:cs="Times New Roman"/>
        </w:rPr>
        <w:t xml:space="preserve">. </w:t>
      </w:r>
      <w:r w:rsidR="004A739D">
        <w:t>T</w:t>
      </w:r>
      <w:r w:rsidR="005F6660">
        <w:t>he asymmetry (A</w:t>
      </w:r>
      <w:r w:rsidR="00F23761">
        <w:rPr>
          <w:vertAlign w:val="subscript"/>
        </w:rPr>
        <w:t>S</w:t>
      </w:r>
      <w:r w:rsidR="005F6660">
        <w:t>) of DTX peak was found to be nearly symmetrical in shape with A</w:t>
      </w:r>
      <w:r w:rsidR="00F23761">
        <w:rPr>
          <w:vertAlign w:val="subscript"/>
        </w:rPr>
        <w:t>S</w:t>
      </w:r>
      <w:r w:rsidR="005F6660">
        <w:rPr>
          <w:vertAlign w:val="subscript"/>
        </w:rPr>
        <w:t xml:space="preserve"> </w:t>
      </w:r>
      <w:r w:rsidR="005F6660">
        <w:t>value close to 1 and tai</w:t>
      </w:r>
      <w:r w:rsidR="00EE08EB">
        <w:t>ling factor value equal to 1</w:t>
      </w:r>
      <w:r w:rsidR="00842E4D">
        <w:t xml:space="preserve"> </w:t>
      </w:r>
      <w:r w:rsidR="00F23761">
        <w:t>representing</w:t>
      </w:r>
      <w:r w:rsidR="00FF52CF">
        <w:t xml:space="preserve"> a Gaussian peak</w:t>
      </w:r>
      <w:r w:rsidR="00F23761">
        <w:t xml:space="preserve"> distribut</w:t>
      </w:r>
      <w:r w:rsidR="00F23761" w:rsidRPr="00C11E93">
        <w:t>ion</w:t>
      </w:r>
      <w:r w:rsidR="00C11E93">
        <w:t xml:space="preserve"> </w:t>
      </w:r>
      <w:r w:rsidR="00C11E93" w:rsidRPr="00C11E93">
        <w:fldChar w:fldCharType="begin" w:fldLock="1"/>
      </w:r>
      <w:r w:rsidR="006372CC">
        <w:instrText>ADDIN CSL_CITATION {"citationItems":[{"id":"ITEM-1","itemData":{"DOI":"10.1155/2019/6143061","ISSN":"2090-8865","abstract":"&lt;p&gt; A novel HPLC method was developed and validated for simultaneous determination of potassium guaiacolsulfonate and sodium benzoate in pediatric oral powder. In this method, an analytical C8 column maintained at 25°C was used for chromatographic separation with a mixture of methanol and 0.02 M solution of tetrabutylammonium sulfate as the mobile phase. The composition of mobile phase was varied using a gradient program including an initial hold time of 7 minutes with methanol content maintained at 20% (v/v), followed by a linear gradient in 5.5 minutes in which methanol content was increased from 20% (v/v) to 50% (v/v) and a final hold time of 2.5 minutes with methanol content maintained at 20% (v/v). The total flow rate of mobile phase was maintained at 1.0 mL per minute. The UV detection was performed at 280 nm. Injection volume was set at 20  &lt;italic&gt;µ&lt;/italic&gt; l. The method was fully validated in terms of specificity, linearity, precision, accuracy, and robustness according to requirements of current guidelines and was proved as reliable and suitable for the intended application. &lt;/p&gt;","author":[{"dropping-particle":"","family":"Le","given":"Thi Huong Hoa","non-dropping-particle":"","parse-names":false,"suffix":""},{"dropping-particle":"","family":"Phung","given":"Thi Hong","non-dropping-particle":"","parse-names":false,"suffix":""},{"dropping-particle":"","family":"Le","given":"Dinh Chi","non-dropping-particle":"","parse-names":false,"suffix":""}],"container-title":"Journal of Analytical Methods in Chemistry","id":"ITEM-1","issued":{"date-parts":[["2019","3","7"]]},"page":"1-9","publisher":"Hindawi","title":"Development and Validation of an HPLC Method for Simultaneous Assay of Potassium Guaiacolsulfonate and Sodium Benzoate in Pediatric Oral Powder","type":"article-journal","volume":"2019"},"uris":["http://www.mendeley.com/documents/?uuid=9a2d9273-8446-345f-b77f-c2d00a9a2c50"]}],"mendeley":{"formattedCitation":"[10]","plainTextFormattedCitation":"[10]","previouslyFormattedCitation":"(Le, Phung, and Le 2019)"},"properties":{"noteIndex":0},"schema":"https://github.com/citation-style-language/schema/raw/master/csl-citation.json"}</w:instrText>
      </w:r>
      <w:r w:rsidR="00C11E93" w:rsidRPr="00C11E93">
        <w:fldChar w:fldCharType="separate"/>
      </w:r>
      <w:r w:rsidR="006372CC" w:rsidRPr="006372CC">
        <w:rPr>
          <w:noProof/>
        </w:rPr>
        <w:t>[10]</w:t>
      </w:r>
      <w:r w:rsidR="00C11E93" w:rsidRPr="00C11E93">
        <w:fldChar w:fldCharType="end"/>
      </w:r>
      <w:r w:rsidR="005F6660" w:rsidRPr="00C11E93">
        <w:t xml:space="preserve">. </w:t>
      </w:r>
      <w:r w:rsidR="00FF52CF" w:rsidRPr="00C11E93">
        <w:t xml:space="preserve">Moreover, </w:t>
      </w:r>
      <w:r w:rsidR="00F23761" w:rsidRPr="00C11E93">
        <w:t>t</w:t>
      </w:r>
      <w:r w:rsidR="00E8658A" w:rsidRPr="00C11E93">
        <w:t>he</w:t>
      </w:r>
      <w:r w:rsidR="00F23761" w:rsidRPr="00C11E93">
        <w:t xml:space="preserve"> </w:t>
      </w:r>
      <w:r w:rsidR="00842E4D" w:rsidRPr="00C11E93">
        <w:t xml:space="preserve">number of theoretical </w:t>
      </w:r>
      <w:r w:rsidR="00F87414" w:rsidRPr="00C11E93">
        <w:t>plates</w:t>
      </w:r>
      <w:r w:rsidR="005D5D5A">
        <w:t xml:space="preserve"> which is used to measure column efficiency</w:t>
      </w:r>
      <w:r w:rsidR="00F23761" w:rsidRPr="00C11E93">
        <w:t xml:space="preserve"> </w:t>
      </w:r>
      <w:r w:rsidR="00E8658A" w:rsidRPr="00C11E93">
        <w:t xml:space="preserve">was </w:t>
      </w:r>
      <w:r w:rsidR="00F23761" w:rsidRPr="00C11E93">
        <w:t>higher than 1000</w:t>
      </w:r>
      <w:r w:rsidR="004B2CA5" w:rsidRPr="00C11E93">
        <w:t>.</w:t>
      </w:r>
      <w:r w:rsidR="005F6660" w:rsidRPr="00C11E93">
        <w:t xml:space="preserve"> The results of system suitabi</w:t>
      </w:r>
      <w:r w:rsidR="00E8658A" w:rsidRPr="00C11E93">
        <w:t>lity</w:t>
      </w:r>
      <w:r w:rsidR="00E8658A">
        <w:t xml:space="preserve"> are summarized in Table 1.</w:t>
      </w:r>
    </w:p>
    <w:p w14:paraId="7E83082C" w14:textId="77777777" w:rsidR="00AF366D" w:rsidRDefault="00AF366D" w:rsidP="0069775B"/>
    <w:p w14:paraId="03DD7207" w14:textId="77777777" w:rsidR="00AF366D" w:rsidRPr="00451867" w:rsidRDefault="00AF366D" w:rsidP="0069775B"/>
    <w:p w14:paraId="616C3BB3" w14:textId="77777777" w:rsidR="0069775B" w:rsidRPr="00C33A35" w:rsidRDefault="001C4784" w:rsidP="0069775B">
      <w:pPr>
        <w:rPr>
          <w:rFonts w:cs="Times New Roman"/>
        </w:rPr>
      </w:pPr>
      <w:r w:rsidRPr="00C33A35">
        <w:rPr>
          <w:rFonts w:cs="Times New Roman"/>
          <w:noProof/>
          <w:lang w:eastAsia="en-US"/>
        </w:rPr>
        <w:drawing>
          <wp:anchor distT="0" distB="0" distL="114300" distR="114300" simplePos="0" relativeHeight="251651584" behindDoc="0" locked="0" layoutInCell="1" allowOverlap="1" wp14:anchorId="3D2F314A" wp14:editId="50CF599D">
            <wp:simplePos x="0" y="0"/>
            <wp:positionH relativeFrom="column">
              <wp:posOffset>849478</wp:posOffset>
            </wp:positionH>
            <wp:positionV relativeFrom="paragraph">
              <wp:posOffset>67081</wp:posOffset>
            </wp:positionV>
            <wp:extent cx="4033512" cy="1800000"/>
            <wp:effectExtent l="19050" t="19050" r="24765" b="1016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BEBA8EAE-BF5A-486C-A8C5-ECC9F3942E4B}">
                          <a14:imgProps xmlns:a14="http://schemas.microsoft.com/office/drawing/2010/main">
                            <a14:imgLayer r:embed="rId9">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0"/>
                      <a:ext cx="4033512" cy="1800000"/>
                    </a:xfrm>
                    <a:prstGeom prst="rect">
                      <a:avLst/>
                    </a:prstGeom>
                    <a:noFill/>
                    <a:ln w="6350">
                      <a:solidFill>
                        <a:schemeClr val="tx1"/>
                      </a:solidFill>
                    </a:ln>
                  </pic:spPr>
                </pic:pic>
              </a:graphicData>
            </a:graphic>
            <wp14:sizeRelH relativeFrom="margin">
              <wp14:pctWidth>0</wp14:pctWidth>
            </wp14:sizeRelH>
            <wp14:sizeRelV relativeFrom="margin">
              <wp14:pctHeight>0</wp14:pctHeight>
            </wp14:sizeRelV>
          </wp:anchor>
        </w:drawing>
      </w:r>
    </w:p>
    <w:p w14:paraId="103B34F8" w14:textId="1A0EC111" w:rsidR="00051E91" w:rsidRPr="00C33A35" w:rsidRDefault="00A0461A" w:rsidP="0069775B">
      <w:pPr>
        <w:rPr>
          <w:rFonts w:cs="Times New Roman"/>
        </w:rPr>
      </w:pPr>
      <w:r>
        <w:rPr>
          <w:rFonts w:cs="Times New Roman"/>
          <w:noProof/>
        </w:rPr>
        <mc:AlternateContent>
          <mc:Choice Requires="wps">
            <w:drawing>
              <wp:anchor distT="0" distB="0" distL="114300" distR="114300" simplePos="0" relativeHeight="251671040" behindDoc="0" locked="0" layoutInCell="1" allowOverlap="1" wp14:anchorId="43116D96" wp14:editId="2F5A6F93">
                <wp:simplePos x="0" y="0"/>
                <wp:positionH relativeFrom="column">
                  <wp:posOffset>4352544</wp:posOffset>
                </wp:positionH>
                <wp:positionV relativeFrom="paragraph">
                  <wp:posOffset>22454</wp:posOffset>
                </wp:positionV>
                <wp:extent cx="350901" cy="292608"/>
                <wp:effectExtent l="0" t="0" r="0" b="0"/>
                <wp:wrapNone/>
                <wp:docPr id="2" name="Text Box 2"/>
                <wp:cNvGraphicFramePr/>
                <a:graphic xmlns:a="http://schemas.openxmlformats.org/drawingml/2006/main">
                  <a:graphicData uri="http://schemas.microsoft.com/office/word/2010/wordprocessingShape">
                    <wps:wsp>
                      <wps:cNvSpPr txBox="1"/>
                      <wps:spPr>
                        <a:xfrm>
                          <a:off x="0" y="0"/>
                          <a:ext cx="350901" cy="292608"/>
                        </a:xfrm>
                        <a:prstGeom prst="rect">
                          <a:avLst/>
                        </a:prstGeom>
                        <a:solidFill>
                          <a:schemeClr val="lt1"/>
                        </a:solidFill>
                        <a:ln w="6350">
                          <a:noFill/>
                        </a:ln>
                      </wps:spPr>
                      <wps:txbx>
                        <w:txbxContent>
                          <w:p w14:paraId="4826456E" w14:textId="5C7DB3EC" w:rsidR="00A0461A" w:rsidRDefault="00A0461A">
                            <w: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3116D96" id="_x0000_t202" coordsize="21600,21600" o:spt="202" path="m,l,21600r21600,l21600,xe">
                <v:stroke joinstyle="miter"/>
                <v:path gradientshapeok="t" o:connecttype="rect"/>
              </v:shapetype>
              <v:shape id="Text Box 2" o:spid="_x0000_s1026" type="#_x0000_t202" style="position:absolute;left:0;text-align:left;margin-left:342.7pt;margin-top:1.75pt;width:27.65pt;height:23.0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" fillcolor="white [3201]" stroked="f" strokeweight=".5pt">
                <v:textbox>
                  <w:txbxContent>
                    <w:p w14:paraId="4826456E" w14:textId="5C7DB3EC" w:rsidR="00A0461A" w:rsidRDefault="00A0461A">
                      <w:r>
                        <w:t>(a)</w:t>
                      </w:r>
                    </w:p>
                  </w:txbxContent>
                </v:textbox>
              </v:shape>
            </w:pict>
          </mc:Fallback>
        </mc:AlternateContent>
      </w:r>
    </w:p>
    <w:p w14:paraId="4A6BD9FF" w14:textId="77777777" w:rsidR="00051E91" w:rsidRPr="00C33A35" w:rsidRDefault="00051E91" w:rsidP="0069775B">
      <w:pPr>
        <w:rPr>
          <w:rFonts w:cs="Times New Roman"/>
        </w:rPr>
      </w:pPr>
    </w:p>
    <w:p w14:paraId="2696E58D" w14:textId="77777777" w:rsidR="00051E91" w:rsidRPr="00C33A35" w:rsidRDefault="00051E91" w:rsidP="0069775B">
      <w:pPr>
        <w:rPr>
          <w:rFonts w:cs="Times New Roman"/>
        </w:rPr>
      </w:pPr>
    </w:p>
    <w:p w14:paraId="05F12ADE" w14:textId="77777777" w:rsidR="00051E91" w:rsidRPr="00C33A35" w:rsidRDefault="00051E91" w:rsidP="0069775B">
      <w:pPr>
        <w:rPr>
          <w:rFonts w:cs="Times New Roman"/>
        </w:rPr>
      </w:pPr>
    </w:p>
    <w:p w14:paraId="1006358F" w14:textId="59370157" w:rsidR="00051E91" w:rsidRPr="00C33A35" w:rsidRDefault="00051E91" w:rsidP="0069775B">
      <w:pPr>
        <w:rPr>
          <w:rFonts w:cs="Times New Roman"/>
        </w:rPr>
      </w:pPr>
    </w:p>
    <w:p w14:paraId="5941572F" w14:textId="41C0D632" w:rsidR="00051E91" w:rsidRPr="00C33A35" w:rsidRDefault="00051E91" w:rsidP="0069775B">
      <w:pPr>
        <w:rPr>
          <w:rFonts w:cs="Times New Roman"/>
        </w:rPr>
      </w:pPr>
    </w:p>
    <w:p w14:paraId="3ABA94AB" w14:textId="326A1250" w:rsidR="001C4784" w:rsidRPr="00C33A35" w:rsidRDefault="001C4784" w:rsidP="0069775B">
      <w:pPr>
        <w:rPr>
          <w:rFonts w:cs="Times New Roman"/>
        </w:rPr>
      </w:pPr>
    </w:p>
    <w:p w14:paraId="22E641DC" w14:textId="0EB8C557" w:rsidR="001C4784" w:rsidRPr="00C33A35" w:rsidRDefault="001C4784" w:rsidP="0069775B">
      <w:pPr>
        <w:rPr>
          <w:rFonts w:cs="Times New Roman"/>
        </w:rPr>
      </w:pPr>
    </w:p>
    <w:p w14:paraId="76795150" w14:textId="50085969" w:rsidR="001C4784" w:rsidRPr="00C33A35" w:rsidRDefault="001C4784" w:rsidP="0069775B">
      <w:pPr>
        <w:rPr>
          <w:rFonts w:cs="Times New Roman"/>
        </w:rPr>
      </w:pPr>
    </w:p>
    <w:p w14:paraId="27315357" w14:textId="689A8DF2" w:rsidR="00051E91" w:rsidRPr="00C33A35" w:rsidRDefault="00051E91" w:rsidP="0069775B">
      <w:pPr>
        <w:rPr>
          <w:rFonts w:cs="Times New Roman"/>
        </w:rPr>
      </w:pPr>
    </w:p>
    <w:p w14:paraId="2A56EC06" w14:textId="31135935" w:rsidR="00C615D8" w:rsidRPr="00C33A35" w:rsidRDefault="00C615D8" w:rsidP="00051E91">
      <w:pPr>
        <w:pStyle w:val="Caption"/>
        <w:jc w:val="center"/>
        <w:rPr>
          <w:rFonts w:cs="Times New Roman"/>
        </w:rPr>
      </w:pPr>
    </w:p>
    <w:p w14:paraId="63A97D97" w14:textId="12EF9CE4" w:rsidR="00C615D8" w:rsidRPr="00C33A35" w:rsidRDefault="00A0461A" w:rsidP="00051E91">
      <w:pPr>
        <w:pStyle w:val="Caption"/>
        <w:jc w:val="center"/>
        <w:rPr>
          <w:rFonts w:cs="Times New Roman"/>
        </w:rPr>
      </w:pPr>
      <w:r>
        <w:rPr>
          <w:rFonts w:cs="Times New Roman"/>
          <w:noProof/>
        </w:rPr>
        <mc:AlternateContent>
          <mc:Choice Requires="wps">
            <w:drawing>
              <wp:anchor distT="0" distB="0" distL="114300" distR="114300" simplePos="0" relativeHeight="251658240" behindDoc="0" locked="0" layoutInCell="1" allowOverlap="1" wp14:anchorId="1F9077BE" wp14:editId="5B23081F">
                <wp:simplePos x="0" y="0"/>
                <wp:positionH relativeFrom="column">
                  <wp:posOffset>4447642</wp:posOffset>
                </wp:positionH>
                <wp:positionV relativeFrom="paragraph">
                  <wp:posOffset>231013</wp:posOffset>
                </wp:positionV>
                <wp:extent cx="350901" cy="292608"/>
                <wp:effectExtent l="0" t="0" r="0" b="0"/>
                <wp:wrapNone/>
                <wp:docPr id="3" name="Text Box 3"/>
                <wp:cNvGraphicFramePr/>
                <a:graphic xmlns:a="http://schemas.openxmlformats.org/drawingml/2006/main">
                  <a:graphicData uri="http://schemas.microsoft.com/office/word/2010/wordprocessingShape">
                    <wps:wsp>
                      <wps:cNvSpPr txBox="1"/>
                      <wps:spPr>
                        <a:xfrm>
                          <a:off x="0" y="0"/>
                          <a:ext cx="350901" cy="292608"/>
                        </a:xfrm>
                        <a:prstGeom prst="rect">
                          <a:avLst/>
                        </a:prstGeom>
                        <a:solidFill>
                          <a:schemeClr val="lt1"/>
                        </a:solidFill>
                        <a:ln w="6350">
                          <a:noFill/>
                        </a:ln>
                      </wps:spPr>
                      <wps:txbx>
                        <w:txbxContent>
                          <w:p w14:paraId="353A8A31" w14:textId="1874C31B" w:rsidR="00A0461A" w:rsidRDefault="00A0461A" w:rsidP="00A0461A">
                            <w:r>
                              <w:t>(</w:t>
                            </w:r>
                            <w:r>
                              <w:t>b</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9077BE" id="Text Box 3" o:spid="_x0000_s1027" type="#_x0000_t202" style="position:absolute;left:0;text-align:left;margin-left:350.2pt;margin-top:18.2pt;width:27.65pt;height:23.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" fillcolor="white [3201]" stroked="f" strokeweight=".5pt">
                <v:textbox>
                  <w:txbxContent>
                    <w:p w14:paraId="353A8A31" w14:textId="1874C31B" w:rsidR="00A0461A" w:rsidRDefault="00A0461A" w:rsidP="00A0461A">
                      <w:r>
                        <w:t>(</w:t>
                      </w:r>
                      <w:r>
                        <w:t>b</w:t>
                      </w:r>
                      <w:r>
                        <w:t>)</w:t>
                      </w:r>
                    </w:p>
                  </w:txbxContent>
                </v:textbox>
              </v:shape>
            </w:pict>
          </mc:Fallback>
        </mc:AlternateContent>
      </w:r>
      <w:r w:rsidR="007435AB">
        <w:rPr>
          <w:noProof/>
          <w:lang w:eastAsia="en-US"/>
        </w:rPr>
        <w:drawing>
          <wp:anchor distT="0" distB="0" distL="114300" distR="114300" simplePos="0" relativeHeight="251656192" behindDoc="0" locked="0" layoutInCell="1" allowOverlap="1" wp14:anchorId="6EAFCB28" wp14:editId="7C8C250F">
            <wp:simplePos x="0" y="0"/>
            <wp:positionH relativeFrom="column">
              <wp:posOffset>845668</wp:posOffset>
            </wp:positionH>
            <wp:positionV relativeFrom="paragraph">
              <wp:posOffset>144069</wp:posOffset>
            </wp:positionV>
            <wp:extent cx="4042382" cy="1970684"/>
            <wp:effectExtent l="19050" t="19050" r="15875" b="1079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BEBA8EAE-BF5A-486C-A8C5-ECC9F3942E4B}">
                          <a14:imgProps xmlns:a14="http://schemas.microsoft.com/office/drawing/2010/main">
                            <a14:imgLayer r:embed="rId11">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4082076" cy="1990035"/>
                    </a:xfrm>
                    <a:prstGeom prst="rect">
                      <a:avLst/>
                    </a:prstGeom>
                    <a:ln w="6350">
                      <a:solidFill>
                        <a:schemeClr val="tx1"/>
                      </a:solidFill>
                    </a:ln>
                  </pic:spPr>
                </pic:pic>
              </a:graphicData>
            </a:graphic>
            <wp14:sizeRelH relativeFrom="margin">
              <wp14:pctWidth>0</wp14:pctWidth>
            </wp14:sizeRelH>
            <wp14:sizeRelV relativeFrom="margin">
              <wp14:pctHeight>0</wp14:pctHeight>
            </wp14:sizeRelV>
          </wp:anchor>
        </w:drawing>
      </w:r>
    </w:p>
    <w:p w14:paraId="7843FAC5" w14:textId="29922A5E" w:rsidR="00C615D8" w:rsidRPr="00C33A35" w:rsidRDefault="00C615D8" w:rsidP="00051E91">
      <w:pPr>
        <w:pStyle w:val="Caption"/>
        <w:jc w:val="center"/>
        <w:rPr>
          <w:rFonts w:cs="Times New Roman"/>
        </w:rPr>
      </w:pPr>
    </w:p>
    <w:p w14:paraId="62F84D80" w14:textId="3EA38225" w:rsidR="00C615D8" w:rsidRPr="00C33A35" w:rsidRDefault="00C615D8" w:rsidP="00C615D8">
      <w:pPr>
        <w:rPr>
          <w:rFonts w:cs="Times New Roman"/>
        </w:rPr>
      </w:pPr>
    </w:p>
    <w:p w14:paraId="6AC2241A" w14:textId="77777777" w:rsidR="00C615D8" w:rsidRPr="00C33A35" w:rsidRDefault="00C615D8" w:rsidP="00C615D8">
      <w:pPr>
        <w:rPr>
          <w:rFonts w:cs="Times New Roman"/>
        </w:rPr>
      </w:pPr>
    </w:p>
    <w:p w14:paraId="34EFFC45" w14:textId="77777777" w:rsidR="00C615D8" w:rsidRPr="00C33A35" w:rsidRDefault="00C615D8" w:rsidP="00C615D8">
      <w:pPr>
        <w:rPr>
          <w:rFonts w:cs="Times New Roman"/>
        </w:rPr>
      </w:pPr>
    </w:p>
    <w:p w14:paraId="75ADC272" w14:textId="47451059" w:rsidR="00C615D8" w:rsidRPr="00C33A35" w:rsidRDefault="00C615D8" w:rsidP="00C615D8">
      <w:pPr>
        <w:rPr>
          <w:rFonts w:cs="Times New Roman"/>
        </w:rPr>
      </w:pPr>
    </w:p>
    <w:p w14:paraId="26099863" w14:textId="77777777" w:rsidR="00C615D8" w:rsidRPr="00C33A35" w:rsidRDefault="00C615D8" w:rsidP="00C615D8">
      <w:pPr>
        <w:rPr>
          <w:rFonts w:cs="Times New Roman"/>
        </w:rPr>
      </w:pPr>
    </w:p>
    <w:p w14:paraId="5927C2F0" w14:textId="77777777" w:rsidR="00C615D8" w:rsidRPr="00C33A35" w:rsidRDefault="00C615D8" w:rsidP="00C615D8">
      <w:pPr>
        <w:rPr>
          <w:rFonts w:cs="Times New Roman"/>
        </w:rPr>
      </w:pPr>
    </w:p>
    <w:p w14:paraId="656E5B22" w14:textId="77777777" w:rsidR="00C615D8" w:rsidRPr="00C33A35" w:rsidRDefault="00C615D8" w:rsidP="00C615D8">
      <w:pPr>
        <w:rPr>
          <w:rFonts w:cs="Times New Roman"/>
        </w:rPr>
      </w:pPr>
    </w:p>
    <w:p w14:paraId="55AB2169" w14:textId="1ED3D043" w:rsidR="00C615D8" w:rsidRPr="00C33A35" w:rsidRDefault="00C615D8" w:rsidP="00C615D8">
      <w:pPr>
        <w:rPr>
          <w:rFonts w:cs="Times New Roman"/>
        </w:rPr>
      </w:pPr>
    </w:p>
    <w:p w14:paraId="212D8EDD" w14:textId="77777777" w:rsidR="00C615D8" w:rsidRPr="00C33A35" w:rsidRDefault="00C615D8" w:rsidP="00C615D8">
      <w:pPr>
        <w:rPr>
          <w:rFonts w:cs="Times New Roman"/>
        </w:rPr>
      </w:pPr>
    </w:p>
    <w:p w14:paraId="6BCE8654" w14:textId="77777777" w:rsidR="00C615D8" w:rsidRDefault="00C615D8" w:rsidP="00051E91">
      <w:pPr>
        <w:pStyle w:val="Caption"/>
        <w:jc w:val="center"/>
        <w:rPr>
          <w:rFonts w:cs="Times New Roman"/>
        </w:rPr>
      </w:pPr>
    </w:p>
    <w:p w14:paraId="6D0440BF" w14:textId="3EF332C6" w:rsidR="00F30065" w:rsidRPr="00F30065" w:rsidRDefault="00F30065" w:rsidP="00F30065"/>
    <w:p w14:paraId="5734BF85" w14:textId="0C5F2DA8" w:rsidR="003E11F2" w:rsidRDefault="00051E91" w:rsidP="00A0461A">
      <w:pPr>
        <w:pStyle w:val="Caption"/>
        <w:spacing w:after="0"/>
        <w:ind w:left="993" w:hanging="993"/>
        <w:rPr>
          <w:rFonts w:cs="Times New Roman"/>
        </w:rPr>
      </w:pPr>
      <w:r w:rsidRPr="00C33A35">
        <w:rPr>
          <w:rFonts w:cs="Times New Roman"/>
        </w:rPr>
        <w:t xml:space="preserve">Figure </w:t>
      </w:r>
      <w:r w:rsidRPr="00C33A35">
        <w:rPr>
          <w:rFonts w:cs="Times New Roman"/>
        </w:rPr>
        <w:fldChar w:fldCharType="begin"/>
      </w:r>
      <w:r w:rsidRPr="00C33A35">
        <w:rPr>
          <w:rFonts w:cs="Times New Roman"/>
        </w:rPr>
        <w:instrText xml:space="preserve"> SEQ Figure \* ARABIC </w:instrText>
      </w:r>
      <w:r w:rsidRPr="00C33A35">
        <w:rPr>
          <w:rFonts w:cs="Times New Roman"/>
        </w:rPr>
        <w:fldChar w:fldCharType="separate"/>
      </w:r>
      <w:r w:rsidR="00C615D8" w:rsidRPr="00C33A35">
        <w:rPr>
          <w:rFonts w:cs="Times New Roman"/>
          <w:noProof/>
        </w:rPr>
        <w:t>1</w:t>
      </w:r>
      <w:r w:rsidRPr="00C33A35">
        <w:rPr>
          <w:rFonts w:cs="Times New Roman"/>
        </w:rPr>
        <w:fldChar w:fldCharType="end"/>
      </w:r>
      <w:r w:rsidRPr="00C33A35">
        <w:rPr>
          <w:rFonts w:cs="Times New Roman"/>
        </w:rPr>
        <w:t>. Chromatogram for (</w:t>
      </w:r>
      <w:r w:rsidR="00A0461A">
        <w:rPr>
          <w:rFonts w:cs="Times New Roman"/>
        </w:rPr>
        <w:t>a</w:t>
      </w:r>
      <w:r w:rsidRPr="00C33A35">
        <w:rPr>
          <w:rFonts w:cs="Times New Roman"/>
        </w:rPr>
        <w:t xml:space="preserve">) blank </w:t>
      </w:r>
      <w:r w:rsidR="002E680C">
        <w:rPr>
          <w:rFonts w:cs="Times New Roman"/>
        </w:rPr>
        <w:t xml:space="preserve">palm-based nanoemulsion </w:t>
      </w:r>
      <w:r w:rsidRPr="00C33A35">
        <w:rPr>
          <w:rFonts w:cs="Times New Roman"/>
        </w:rPr>
        <w:t>sample and, (</w:t>
      </w:r>
      <w:r w:rsidR="00A0461A">
        <w:rPr>
          <w:rFonts w:cs="Times New Roman"/>
        </w:rPr>
        <w:t>b</w:t>
      </w:r>
      <w:r w:rsidRPr="00C33A35">
        <w:rPr>
          <w:rFonts w:cs="Times New Roman"/>
        </w:rPr>
        <w:t>) blank</w:t>
      </w:r>
      <w:r w:rsidR="002E680C">
        <w:rPr>
          <w:rFonts w:cs="Times New Roman"/>
        </w:rPr>
        <w:t xml:space="preserve"> palm-based nanoemulsion</w:t>
      </w:r>
      <w:r w:rsidRPr="00C33A35">
        <w:rPr>
          <w:rFonts w:cs="Times New Roman"/>
        </w:rPr>
        <w:t xml:space="preserve"> sample spiked with DTX at 62.5 </w:t>
      </w:r>
      <w:bookmarkStart w:id="4" w:name="_Hlk14007619"/>
      <w:r w:rsidRPr="00C33A35">
        <w:rPr>
          <w:rFonts w:cs="Times New Roman"/>
        </w:rPr>
        <w:t>μg/mL</w:t>
      </w:r>
      <w:bookmarkEnd w:id="4"/>
    </w:p>
    <w:p w14:paraId="1DA42CF5" w14:textId="77777777" w:rsidR="00F30065" w:rsidRDefault="00F30065" w:rsidP="004A739D">
      <w:pPr>
        <w:spacing w:after="120"/>
      </w:pPr>
    </w:p>
    <w:p w14:paraId="3E5D6C1A" w14:textId="77777777" w:rsidR="00CF1F04" w:rsidRDefault="00CF1F04" w:rsidP="00CF1F04">
      <w:pPr>
        <w:pStyle w:val="Caption"/>
        <w:spacing w:after="120"/>
        <w:jc w:val="center"/>
        <w:rPr>
          <w:rFonts w:cs="Times New Roman"/>
        </w:rPr>
      </w:pPr>
      <w:r>
        <w:t xml:space="preserve"> Table </w:t>
      </w:r>
      <w:fldSimple w:instr=" SEQ Table \* ARABIC ">
        <w:r>
          <w:rPr>
            <w:noProof/>
          </w:rPr>
          <w:t>1</w:t>
        </w:r>
      </w:fldSimple>
      <w:r>
        <w:t xml:space="preserve">. Results of system suitability </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59"/>
        <w:gridCol w:w="1580"/>
      </w:tblGrid>
      <w:tr w:rsidR="007435AB" w14:paraId="38CCD336" w14:textId="77777777" w:rsidTr="00D56B3B">
        <w:trPr>
          <w:trHeight w:hRule="exact" w:val="317"/>
          <w:jc w:val="center"/>
        </w:trPr>
        <w:tc>
          <w:tcPr>
            <w:tcW w:w="2959" w:type="dxa"/>
            <w:tcBorders>
              <w:top w:val="single" w:sz="4" w:space="0" w:color="auto"/>
              <w:bottom w:val="single" w:sz="4" w:space="0" w:color="auto"/>
            </w:tcBorders>
          </w:tcPr>
          <w:p w14:paraId="2108E4A9" w14:textId="5287108B" w:rsidR="007435AB" w:rsidRPr="00A0461A" w:rsidRDefault="007435AB" w:rsidP="00232F05">
            <w:pPr>
              <w:ind w:firstLine="275"/>
              <w:rPr>
                <w:b/>
                <w:bCs/>
              </w:rPr>
            </w:pPr>
            <w:r w:rsidRPr="00A0461A">
              <w:rPr>
                <w:b/>
                <w:bCs/>
              </w:rPr>
              <w:t xml:space="preserve">Validation </w:t>
            </w:r>
            <w:r w:rsidR="00A0461A" w:rsidRPr="00A0461A">
              <w:rPr>
                <w:b/>
                <w:bCs/>
              </w:rPr>
              <w:t>Parameter</w:t>
            </w:r>
          </w:p>
        </w:tc>
        <w:tc>
          <w:tcPr>
            <w:tcW w:w="1580" w:type="dxa"/>
            <w:tcBorders>
              <w:top w:val="single" w:sz="4" w:space="0" w:color="auto"/>
              <w:bottom w:val="single" w:sz="4" w:space="0" w:color="auto"/>
            </w:tcBorders>
          </w:tcPr>
          <w:p w14:paraId="6D38D83F" w14:textId="77777777" w:rsidR="007435AB" w:rsidRDefault="007435AB" w:rsidP="00CF1F04"/>
        </w:tc>
      </w:tr>
      <w:tr w:rsidR="007435AB" w14:paraId="6577AFBB" w14:textId="77777777" w:rsidTr="00D56B3B">
        <w:trPr>
          <w:trHeight w:hRule="exact" w:val="126"/>
          <w:jc w:val="center"/>
        </w:trPr>
        <w:tc>
          <w:tcPr>
            <w:tcW w:w="2959" w:type="dxa"/>
            <w:tcBorders>
              <w:top w:val="single" w:sz="4" w:space="0" w:color="auto"/>
            </w:tcBorders>
          </w:tcPr>
          <w:p w14:paraId="24CF8EDE" w14:textId="77777777" w:rsidR="007435AB" w:rsidRDefault="007435AB" w:rsidP="00232F05">
            <w:pPr>
              <w:ind w:firstLine="275"/>
            </w:pPr>
          </w:p>
        </w:tc>
        <w:tc>
          <w:tcPr>
            <w:tcW w:w="1580" w:type="dxa"/>
            <w:tcBorders>
              <w:top w:val="single" w:sz="4" w:space="0" w:color="auto"/>
            </w:tcBorders>
          </w:tcPr>
          <w:p w14:paraId="49A8A2BB" w14:textId="77777777" w:rsidR="007435AB" w:rsidRDefault="007435AB" w:rsidP="00CF1F04"/>
        </w:tc>
      </w:tr>
      <w:tr w:rsidR="007435AB" w14:paraId="06E6914D" w14:textId="77777777" w:rsidTr="00D56B3B">
        <w:trPr>
          <w:trHeight w:hRule="exact" w:val="275"/>
          <w:jc w:val="center"/>
        </w:trPr>
        <w:tc>
          <w:tcPr>
            <w:tcW w:w="2959" w:type="dxa"/>
          </w:tcPr>
          <w:p w14:paraId="3B9D83EF" w14:textId="77777777" w:rsidR="007435AB" w:rsidRDefault="007435AB" w:rsidP="00232F05">
            <w:pPr>
              <w:ind w:firstLine="275"/>
            </w:pPr>
            <w:r>
              <w:t>Retention time (min)</w:t>
            </w:r>
          </w:p>
        </w:tc>
        <w:tc>
          <w:tcPr>
            <w:tcW w:w="1580" w:type="dxa"/>
          </w:tcPr>
          <w:p w14:paraId="24DB29FD" w14:textId="77777777" w:rsidR="007435AB" w:rsidRDefault="007435AB" w:rsidP="00232F05">
            <w:pPr>
              <w:ind w:firstLine="591"/>
            </w:pPr>
            <w:r>
              <w:t>3.12</w:t>
            </w:r>
          </w:p>
        </w:tc>
      </w:tr>
      <w:tr w:rsidR="007435AB" w14:paraId="3A7677E3" w14:textId="77777777" w:rsidTr="00D56B3B">
        <w:trPr>
          <w:trHeight w:hRule="exact" w:val="237"/>
          <w:jc w:val="center"/>
        </w:trPr>
        <w:tc>
          <w:tcPr>
            <w:tcW w:w="2959" w:type="dxa"/>
          </w:tcPr>
          <w:p w14:paraId="5660E7E6" w14:textId="77777777" w:rsidR="007435AB" w:rsidRPr="00EE08EB" w:rsidRDefault="007435AB" w:rsidP="00232F05">
            <w:pPr>
              <w:ind w:firstLine="275"/>
            </w:pPr>
            <w:r w:rsidRPr="00EE08EB">
              <w:t>Asymmetry of peak</w:t>
            </w:r>
          </w:p>
        </w:tc>
        <w:tc>
          <w:tcPr>
            <w:tcW w:w="1580" w:type="dxa"/>
          </w:tcPr>
          <w:p w14:paraId="5EAD53D8" w14:textId="77777777" w:rsidR="007435AB" w:rsidRPr="00EE08EB" w:rsidRDefault="00EE08EB" w:rsidP="00232F05">
            <w:pPr>
              <w:ind w:firstLine="591"/>
            </w:pPr>
            <w:r w:rsidRPr="00EE08EB">
              <w:t>1.01</w:t>
            </w:r>
            <w:r w:rsidR="00C45443" w:rsidRPr="00EE08EB">
              <w:t xml:space="preserve"> </w:t>
            </w:r>
          </w:p>
        </w:tc>
      </w:tr>
      <w:tr w:rsidR="00C45443" w14:paraId="70D692B9" w14:textId="77777777" w:rsidTr="00D56B3B">
        <w:trPr>
          <w:trHeight w:hRule="exact" w:val="269"/>
          <w:jc w:val="center"/>
        </w:trPr>
        <w:tc>
          <w:tcPr>
            <w:tcW w:w="2959" w:type="dxa"/>
            <w:tcBorders>
              <w:bottom w:val="nil"/>
            </w:tcBorders>
          </w:tcPr>
          <w:p w14:paraId="6DE200F3" w14:textId="77777777" w:rsidR="00C45443" w:rsidRPr="00EE08EB" w:rsidRDefault="00C45443" w:rsidP="00232F05">
            <w:pPr>
              <w:ind w:firstLine="275"/>
            </w:pPr>
            <w:r w:rsidRPr="00EE08EB">
              <w:t>Tailing factor</w:t>
            </w:r>
          </w:p>
        </w:tc>
        <w:tc>
          <w:tcPr>
            <w:tcW w:w="1580" w:type="dxa"/>
            <w:tcBorders>
              <w:bottom w:val="nil"/>
            </w:tcBorders>
          </w:tcPr>
          <w:p w14:paraId="124B610B" w14:textId="77777777" w:rsidR="00C45443" w:rsidRPr="00EE08EB" w:rsidRDefault="00EE08EB" w:rsidP="00232F05">
            <w:pPr>
              <w:ind w:firstLine="591"/>
            </w:pPr>
            <w:r w:rsidRPr="00EE08EB">
              <w:t>1.00</w:t>
            </w:r>
          </w:p>
        </w:tc>
      </w:tr>
      <w:tr w:rsidR="007435AB" w14:paraId="3CC009E7" w14:textId="77777777" w:rsidTr="00D56B3B">
        <w:trPr>
          <w:trHeight w:hRule="exact" w:val="287"/>
          <w:jc w:val="center"/>
        </w:trPr>
        <w:tc>
          <w:tcPr>
            <w:tcW w:w="2959" w:type="dxa"/>
            <w:tcBorders>
              <w:top w:val="nil"/>
              <w:bottom w:val="nil"/>
            </w:tcBorders>
          </w:tcPr>
          <w:p w14:paraId="72C7B818" w14:textId="77777777" w:rsidR="007435AB" w:rsidRDefault="007435AB" w:rsidP="00232F05">
            <w:pPr>
              <w:ind w:firstLine="275"/>
            </w:pPr>
            <w:r>
              <w:t>Number of theoretical plates</w:t>
            </w:r>
          </w:p>
        </w:tc>
        <w:tc>
          <w:tcPr>
            <w:tcW w:w="1580" w:type="dxa"/>
            <w:tcBorders>
              <w:top w:val="nil"/>
              <w:bottom w:val="nil"/>
            </w:tcBorders>
          </w:tcPr>
          <w:p w14:paraId="72EE5858" w14:textId="77777777" w:rsidR="007435AB" w:rsidRDefault="00EE08EB" w:rsidP="00232F05">
            <w:pPr>
              <w:ind w:firstLine="591"/>
            </w:pPr>
            <w:r>
              <w:t>1936</w:t>
            </w:r>
          </w:p>
        </w:tc>
      </w:tr>
      <w:tr w:rsidR="007435AB" w14:paraId="0B6C3C70" w14:textId="77777777" w:rsidTr="00D56B3B">
        <w:trPr>
          <w:trHeight w:hRule="exact" w:val="126"/>
          <w:jc w:val="center"/>
        </w:trPr>
        <w:tc>
          <w:tcPr>
            <w:tcW w:w="2959" w:type="dxa"/>
            <w:tcBorders>
              <w:top w:val="nil"/>
            </w:tcBorders>
          </w:tcPr>
          <w:p w14:paraId="2E48A5FB" w14:textId="77777777" w:rsidR="007435AB" w:rsidRDefault="007435AB" w:rsidP="00CF1F04"/>
        </w:tc>
        <w:tc>
          <w:tcPr>
            <w:tcW w:w="1580" w:type="dxa"/>
            <w:tcBorders>
              <w:top w:val="nil"/>
            </w:tcBorders>
          </w:tcPr>
          <w:p w14:paraId="34145777" w14:textId="77777777" w:rsidR="007435AB" w:rsidRDefault="007435AB" w:rsidP="00CF1F04"/>
        </w:tc>
      </w:tr>
    </w:tbl>
    <w:p w14:paraId="5395FDBA" w14:textId="77777777" w:rsidR="00D56B3B" w:rsidRDefault="00D56B3B" w:rsidP="00F30065">
      <w:pPr>
        <w:spacing w:after="120"/>
      </w:pPr>
    </w:p>
    <w:p w14:paraId="77E8B6E7" w14:textId="2399EB71" w:rsidR="00F30065" w:rsidRDefault="00AE542A" w:rsidP="00F30065">
      <w:pPr>
        <w:spacing w:after="120"/>
        <w:rPr>
          <w:rFonts w:cs="Times New Roman"/>
          <w:szCs w:val="20"/>
        </w:rPr>
      </w:pPr>
      <w:r>
        <w:t xml:space="preserve">Calibration curve was constructed using the five-standard concentration of DTX in the range of </w:t>
      </w:r>
      <w:r w:rsidRPr="00AE542A">
        <w:t>62.5 μg/mL</w:t>
      </w:r>
      <w:r>
        <w:t xml:space="preserve"> </w:t>
      </w:r>
      <w:r w:rsidRPr="00AE542A">
        <w:t>and</w:t>
      </w:r>
      <w:r w:rsidR="00E61A63">
        <w:t xml:space="preserve"> </w:t>
      </w:r>
      <w:r w:rsidRPr="00AE542A">
        <w:t>1000 μg/mL</w:t>
      </w:r>
      <w:r>
        <w:t xml:space="preserve"> against t</w:t>
      </w:r>
      <w:r w:rsidR="003E11F2" w:rsidRPr="003E11F2">
        <w:t xml:space="preserve">he </w:t>
      </w:r>
      <w:r>
        <w:t>mean peak area</w:t>
      </w:r>
      <w:r w:rsidR="003E11F2">
        <w:t xml:space="preserve"> of DTX</w:t>
      </w:r>
      <w:r w:rsidR="003E11F2">
        <w:rPr>
          <w:rFonts w:cs="Times New Roman"/>
        </w:rPr>
        <w:t xml:space="preserve">. A </w:t>
      </w:r>
      <w:r w:rsidR="00E61A63">
        <w:rPr>
          <w:rFonts w:cs="Times New Roman"/>
        </w:rPr>
        <w:t>good l</w:t>
      </w:r>
      <w:r w:rsidR="003E11F2">
        <w:rPr>
          <w:rFonts w:cs="Times New Roman"/>
        </w:rPr>
        <w:t xml:space="preserve">inear relationship </w:t>
      </w:r>
      <w:r w:rsidR="00E61A63">
        <w:rPr>
          <w:rFonts w:cs="Times New Roman"/>
        </w:rPr>
        <w:t xml:space="preserve">with equation </w:t>
      </w:r>
      <w:r w:rsidR="00E61A63" w:rsidRPr="00F43EC3">
        <w:rPr>
          <w:rFonts w:cs="Times New Roman"/>
        </w:rPr>
        <w:t xml:space="preserve">of y = </w:t>
      </w:r>
      <w:r w:rsidR="00F43EC3" w:rsidRPr="00F43EC3">
        <w:rPr>
          <w:rFonts w:cs="Times New Roman"/>
        </w:rPr>
        <w:t>624.94</w:t>
      </w:r>
      <w:r w:rsidR="00E61A63" w:rsidRPr="00F43EC3">
        <w:rPr>
          <w:rFonts w:cs="Times New Roman"/>
        </w:rPr>
        <w:t xml:space="preserve">x </w:t>
      </w:r>
      <w:r w:rsidR="00F43EC3" w:rsidRPr="00F43EC3">
        <w:rPr>
          <w:rFonts w:cs="Times New Roman"/>
        </w:rPr>
        <w:t>–</w:t>
      </w:r>
      <w:r w:rsidR="00E61A63" w:rsidRPr="00F43EC3">
        <w:rPr>
          <w:rFonts w:cs="Times New Roman"/>
        </w:rPr>
        <w:t xml:space="preserve"> </w:t>
      </w:r>
      <w:r w:rsidR="00F43EC3" w:rsidRPr="00F43EC3">
        <w:rPr>
          <w:rFonts w:cs="Times New Roman"/>
        </w:rPr>
        <w:t>341.33</w:t>
      </w:r>
      <w:r w:rsidR="00E61A63" w:rsidRPr="00F43EC3">
        <w:rPr>
          <w:rFonts w:cs="Times New Roman"/>
        </w:rPr>
        <w:t xml:space="preserve"> </w:t>
      </w:r>
      <w:r w:rsidR="003E11F2" w:rsidRPr="00F43EC3">
        <w:rPr>
          <w:rFonts w:cs="Times New Roman"/>
        </w:rPr>
        <w:t>was established between the peak area and DTX concentrations over the range tested</w:t>
      </w:r>
      <w:r w:rsidR="00EB75C4">
        <w:rPr>
          <w:rFonts w:cs="Times New Roman"/>
        </w:rPr>
        <w:t xml:space="preserve"> (Figure 2)</w:t>
      </w:r>
      <w:r w:rsidR="003E11F2" w:rsidRPr="00F43EC3">
        <w:rPr>
          <w:rFonts w:cs="Times New Roman"/>
        </w:rPr>
        <w:t>. It w</w:t>
      </w:r>
      <w:r w:rsidR="003E11F2">
        <w:rPr>
          <w:rFonts w:cs="Times New Roman"/>
        </w:rPr>
        <w:t>as confirmed by the regression correlation coefficient value</w:t>
      </w:r>
      <w:r w:rsidR="00EB75C4">
        <w:rPr>
          <w:rFonts w:cs="Times New Roman"/>
        </w:rPr>
        <w:t xml:space="preserve"> </w:t>
      </w:r>
      <w:r w:rsidR="00E61A63">
        <w:rPr>
          <w:rFonts w:cs="Times New Roman"/>
        </w:rPr>
        <w:t>close</w:t>
      </w:r>
      <w:r w:rsidR="003E11F2">
        <w:rPr>
          <w:rFonts w:cs="Times New Roman"/>
        </w:rPr>
        <w:t xml:space="preserve"> to 1 (</w:t>
      </w:r>
      <w:r w:rsidR="003E11F2" w:rsidRPr="003E11F2">
        <w:rPr>
          <w:rFonts w:cs="Times New Roman"/>
          <w:i/>
          <w:iCs/>
        </w:rPr>
        <w:t>R</w:t>
      </w:r>
      <w:r w:rsidR="003E11F2" w:rsidRPr="003E11F2">
        <w:rPr>
          <w:rFonts w:cs="Times New Roman"/>
          <w:i/>
          <w:iCs/>
          <w:vertAlign w:val="superscript"/>
        </w:rPr>
        <w:t>2</w:t>
      </w:r>
      <w:r w:rsidR="003E11F2">
        <w:rPr>
          <w:rFonts w:cs="Times New Roman"/>
        </w:rPr>
        <w:t xml:space="preserve"> = 0.999</w:t>
      </w:r>
      <w:r w:rsidR="006773DF">
        <w:rPr>
          <w:rFonts w:cs="Times New Roman"/>
        </w:rPr>
        <w:t>9</w:t>
      </w:r>
      <w:r w:rsidR="003E11F2">
        <w:rPr>
          <w:rFonts w:cs="Times New Roman"/>
        </w:rPr>
        <w:t>)</w:t>
      </w:r>
      <w:r w:rsidR="00E61A63">
        <w:rPr>
          <w:rFonts w:cs="Times New Roman"/>
        </w:rPr>
        <w:t xml:space="preserve"> indicating of strong positive linear correlation</w:t>
      </w:r>
      <w:r w:rsidR="00EB75C4">
        <w:rPr>
          <w:rFonts w:cs="Times New Roman"/>
        </w:rPr>
        <w:t xml:space="preserve"> between the DTX concentration and </w:t>
      </w:r>
      <w:r w:rsidR="005D5D5A">
        <w:rPr>
          <w:rFonts w:cs="Times New Roman"/>
        </w:rPr>
        <w:t xml:space="preserve">the </w:t>
      </w:r>
      <w:r w:rsidR="00EB75C4">
        <w:rPr>
          <w:rFonts w:cs="Times New Roman"/>
        </w:rPr>
        <w:t>obtained peak area</w:t>
      </w:r>
      <w:r w:rsidR="003E11F2">
        <w:rPr>
          <w:rFonts w:cs="Times New Roman"/>
        </w:rPr>
        <w:t>.</w:t>
      </w:r>
      <w:r w:rsidR="00351AFF">
        <w:rPr>
          <w:rFonts w:cs="Times New Roman"/>
        </w:rPr>
        <w:t xml:space="preserve"> ANOVA </w:t>
      </w:r>
      <w:r w:rsidR="00351AFF" w:rsidRPr="00F43EC3">
        <w:rPr>
          <w:rFonts w:cs="Times New Roman"/>
        </w:rPr>
        <w:t xml:space="preserve">analysis also </w:t>
      </w:r>
      <w:r w:rsidR="00E61A63" w:rsidRPr="00F43EC3">
        <w:rPr>
          <w:rFonts w:cs="Times New Roman"/>
        </w:rPr>
        <w:t>showed</w:t>
      </w:r>
      <w:r w:rsidR="00351AFF" w:rsidRPr="00F43EC3">
        <w:rPr>
          <w:rFonts w:cs="Times New Roman"/>
        </w:rPr>
        <w:t xml:space="preserve"> that the </w:t>
      </w:r>
      <w:r w:rsidR="00835BD0" w:rsidRPr="00F43EC3">
        <w:rPr>
          <w:rFonts w:cs="Times New Roman"/>
        </w:rPr>
        <w:t xml:space="preserve">positive </w:t>
      </w:r>
      <w:r w:rsidR="00351AFF" w:rsidRPr="00F43EC3">
        <w:rPr>
          <w:rFonts w:cs="Times New Roman"/>
        </w:rPr>
        <w:t>regression model is statistically significant (</w:t>
      </w:r>
      <w:r w:rsidR="00D56B3B">
        <w:rPr>
          <w:rFonts w:cs="Times New Roman"/>
          <w:i/>
          <w:iCs/>
        </w:rPr>
        <w:t>p</w:t>
      </w:r>
      <w:r w:rsidR="00351AFF" w:rsidRPr="00F43EC3">
        <w:rPr>
          <w:rFonts w:cs="Times New Roman"/>
        </w:rPr>
        <w:t xml:space="preserve"> &lt; 0.05) to </w:t>
      </w:r>
      <w:r w:rsidR="004231A9" w:rsidRPr="00F43EC3">
        <w:rPr>
          <w:rFonts w:cs="Times New Roman"/>
        </w:rPr>
        <w:t>predict</w:t>
      </w:r>
      <w:r w:rsidR="00351AFF" w:rsidRPr="00F43EC3">
        <w:rPr>
          <w:rFonts w:cs="Times New Roman"/>
        </w:rPr>
        <w:t xml:space="preserve"> the response.</w:t>
      </w:r>
      <w:r w:rsidR="00F87414">
        <w:rPr>
          <w:rFonts w:cs="Times New Roman"/>
        </w:rPr>
        <w:t xml:space="preserve"> The model </w:t>
      </w:r>
      <w:r w:rsidR="00F87414" w:rsidRPr="009176C7">
        <w:rPr>
          <w:rFonts w:cs="Times New Roman"/>
          <w:i/>
          <w:iCs/>
        </w:rPr>
        <w:t>F</w:t>
      </w:r>
      <w:r w:rsidR="00F87414">
        <w:rPr>
          <w:rFonts w:cs="Times New Roman"/>
        </w:rPr>
        <w:t xml:space="preserve"> value also implies that the model is significant</w:t>
      </w:r>
      <w:r w:rsidR="009176C7">
        <w:rPr>
          <w:rFonts w:cs="Times New Roman"/>
        </w:rPr>
        <w:t xml:space="preserve"> and less than</w:t>
      </w:r>
      <w:r w:rsidR="00F87414">
        <w:rPr>
          <w:rFonts w:cs="Times New Roman"/>
        </w:rPr>
        <w:t xml:space="preserve"> 0.01% chance that</w:t>
      </w:r>
      <w:r w:rsidR="009176C7">
        <w:rPr>
          <w:rFonts w:cs="Times New Roman"/>
        </w:rPr>
        <w:t xml:space="preserve"> the model </w:t>
      </w:r>
      <w:r w:rsidR="009176C7" w:rsidRPr="009176C7">
        <w:rPr>
          <w:rFonts w:cs="Times New Roman"/>
          <w:i/>
          <w:iCs/>
        </w:rPr>
        <w:t>F</w:t>
      </w:r>
      <w:r w:rsidR="009176C7">
        <w:rPr>
          <w:rFonts w:cs="Times New Roman"/>
        </w:rPr>
        <w:t xml:space="preserve">-value could occur due to noise </w:t>
      </w:r>
      <w:r w:rsidR="009176C7" w:rsidRPr="00F43EC3">
        <w:rPr>
          <w:rFonts w:cs="Times New Roman"/>
        </w:rPr>
        <w:t xml:space="preserve">(Table </w:t>
      </w:r>
      <w:r w:rsidR="009176C7">
        <w:rPr>
          <w:rFonts w:cs="Times New Roman"/>
        </w:rPr>
        <w:t>2</w:t>
      </w:r>
      <w:r w:rsidR="009176C7" w:rsidRPr="00F43EC3">
        <w:rPr>
          <w:rFonts w:cs="Times New Roman"/>
        </w:rPr>
        <w:t>)</w:t>
      </w:r>
      <w:r w:rsidR="009176C7">
        <w:rPr>
          <w:rFonts w:cs="Times New Roman"/>
        </w:rPr>
        <w:t>. The</w:t>
      </w:r>
      <w:r w:rsidR="00821003" w:rsidRPr="00F43EC3">
        <w:rPr>
          <w:rFonts w:cs="Times New Roman"/>
        </w:rPr>
        <w:t xml:space="preserve"> LOD and LOQ of DTX </w:t>
      </w:r>
      <w:r w:rsidR="00821003" w:rsidRPr="006F6122">
        <w:rPr>
          <w:rFonts w:cs="Times New Roman"/>
          <w:szCs w:val="20"/>
        </w:rPr>
        <w:t>determined from th</w:t>
      </w:r>
      <w:r w:rsidR="00B93161" w:rsidRPr="006F6122">
        <w:rPr>
          <w:rFonts w:cs="Times New Roman"/>
          <w:szCs w:val="20"/>
        </w:rPr>
        <w:t>e</w:t>
      </w:r>
      <w:r w:rsidR="00821003" w:rsidRPr="006F6122">
        <w:rPr>
          <w:rFonts w:cs="Times New Roman"/>
          <w:szCs w:val="20"/>
        </w:rPr>
        <w:t xml:space="preserve"> standard deviation of the regression line were found to be </w:t>
      </w:r>
      <w:r w:rsidR="008C6FEF" w:rsidRPr="006F6122">
        <w:rPr>
          <w:rFonts w:cs="Times New Roman"/>
          <w:szCs w:val="20"/>
        </w:rPr>
        <w:t>9.88</w:t>
      </w:r>
      <w:r w:rsidR="00821003" w:rsidRPr="006F6122">
        <w:rPr>
          <w:rFonts w:cs="Times New Roman"/>
          <w:szCs w:val="20"/>
        </w:rPr>
        <w:t xml:space="preserve"> µg/mL and </w:t>
      </w:r>
      <w:r w:rsidR="008C6FEF" w:rsidRPr="006F6122">
        <w:rPr>
          <w:rFonts w:cs="Times New Roman"/>
          <w:szCs w:val="20"/>
        </w:rPr>
        <w:t>29.93</w:t>
      </w:r>
      <w:r w:rsidR="00821003" w:rsidRPr="006F6122">
        <w:rPr>
          <w:rFonts w:cs="Times New Roman"/>
          <w:szCs w:val="20"/>
        </w:rPr>
        <w:t xml:space="preserve"> µg/mL, respectively</w:t>
      </w:r>
      <w:r w:rsidR="00F87414">
        <w:rPr>
          <w:rFonts w:cs="Times New Roman"/>
          <w:szCs w:val="20"/>
        </w:rPr>
        <w:t>.</w:t>
      </w:r>
    </w:p>
    <w:p w14:paraId="35BDB90D" w14:textId="77777777" w:rsidR="00E570AF" w:rsidRDefault="00E570AF" w:rsidP="00F30065">
      <w:pPr>
        <w:spacing w:after="120"/>
        <w:rPr>
          <w:rFonts w:cs="Times New Roman"/>
          <w:szCs w:val="20"/>
        </w:rPr>
      </w:pPr>
    </w:p>
    <w:p w14:paraId="4A70E863" w14:textId="77777777" w:rsidR="00451867" w:rsidRDefault="00451867" w:rsidP="00F30065">
      <w:pPr>
        <w:spacing w:after="120"/>
        <w:rPr>
          <w:rFonts w:cs="Times New Roman"/>
          <w:szCs w:val="20"/>
        </w:rPr>
      </w:pPr>
    </w:p>
    <w:p w14:paraId="688FEE70" w14:textId="77777777" w:rsidR="005325D9" w:rsidRDefault="005325D9" w:rsidP="00F30065">
      <w:pPr>
        <w:spacing w:after="120"/>
        <w:rPr>
          <w:rFonts w:cs="Times New Roman"/>
          <w:szCs w:val="20"/>
        </w:rPr>
      </w:pPr>
    </w:p>
    <w:p w14:paraId="74BB1BAC" w14:textId="77777777" w:rsidR="00FB0890" w:rsidRDefault="00FB0890" w:rsidP="00FB0890">
      <w:pPr>
        <w:rPr>
          <w:rFonts w:cs="Times New Roman"/>
          <w:szCs w:val="20"/>
        </w:rPr>
      </w:pPr>
    </w:p>
    <w:p w14:paraId="49217F48" w14:textId="77777777" w:rsidR="00A506AC" w:rsidRDefault="00A506AC" w:rsidP="00FB0890">
      <w:pPr>
        <w:rPr>
          <w:rFonts w:cs="Times New Roman"/>
          <w:szCs w:val="20"/>
        </w:rPr>
      </w:pPr>
    </w:p>
    <w:p w14:paraId="251CD948" w14:textId="77777777" w:rsidR="00A506AC" w:rsidRDefault="00A506AC" w:rsidP="00FB0890">
      <w:pPr>
        <w:rPr>
          <w:rFonts w:cs="Times New Roman"/>
          <w:szCs w:val="20"/>
        </w:rPr>
      </w:pPr>
    </w:p>
    <w:p w14:paraId="5EC856C0" w14:textId="77777777" w:rsidR="0069775B" w:rsidRPr="00C33A35" w:rsidRDefault="00BA68E0" w:rsidP="00FB0890">
      <w:pPr>
        <w:rPr>
          <w:rFonts w:cs="Times New Roman"/>
        </w:rPr>
      </w:pPr>
      <w:r>
        <w:rPr>
          <w:noProof/>
          <w:lang w:eastAsia="en-US"/>
        </w:rPr>
        <w:lastRenderedPageBreak/>
        <w:drawing>
          <wp:anchor distT="0" distB="0" distL="114300" distR="114300" simplePos="0" relativeHeight="251670016" behindDoc="0" locked="0" layoutInCell="1" allowOverlap="1" wp14:anchorId="64C613CA" wp14:editId="7E6DDDF4">
            <wp:simplePos x="0" y="0"/>
            <wp:positionH relativeFrom="column">
              <wp:posOffset>1038403</wp:posOffset>
            </wp:positionH>
            <wp:positionV relativeFrom="paragraph">
              <wp:posOffset>138430</wp:posOffset>
            </wp:positionV>
            <wp:extent cx="3657600" cy="1997049"/>
            <wp:effectExtent l="0" t="0" r="0" b="3810"/>
            <wp:wrapNone/>
            <wp:docPr id="18" name="Chart 18">
              <a:extLst xmlns:a="http://schemas.openxmlformats.org/drawingml/2006/main">
                <a:ext uri="{FF2B5EF4-FFF2-40B4-BE49-F238E27FC236}">
                  <a16:creationId xmlns:a16="http://schemas.microsoft.com/office/drawing/2014/main" id="{00000000-0008-0000-0000-00000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margin">
              <wp14:pctWidth>0</wp14:pctWidth>
            </wp14:sizeRelH>
            <wp14:sizeRelV relativeFrom="margin">
              <wp14:pctHeight>0</wp14:pctHeight>
            </wp14:sizeRelV>
          </wp:anchor>
        </w:drawing>
      </w:r>
    </w:p>
    <w:p w14:paraId="46B4FB69" w14:textId="77777777" w:rsidR="00C615D8" w:rsidRPr="00C33A35" w:rsidRDefault="00C615D8" w:rsidP="0069775B">
      <w:pPr>
        <w:rPr>
          <w:rFonts w:cs="Times New Roman"/>
        </w:rPr>
      </w:pPr>
    </w:p>
    <w:p w14:paraId="281DC80F" w14:textId="77777777" w:rsidR="00C615D8" w:rsidRPr="00C33A35" w:rsidRDefault="00C615D8" w:rsidP="0069775B">
      <w:pPr>
        <w:rPr>
          <w:rFonts w:cs="Times New Roman"/>
        </w:rPr>
      </w:pPr>
    </w:p>
    <w:p w14:paraId="1990A3EB" w14:textId="77777777" w:rsidR="00C615D8" w:rsidRPr="00C33A35" w:rsidRDefault="00C615D8" w:rsidP="0069775B">
      <w:pPr>
        <w:rPr>
          <w:rFonts w:cs="Times New Roman"/>
        </w:rPr>
      </w:pPr>
    </w:p>
    <w:p w14:paraId="5CED3840" w14:textId="77777777" w:rsidR="00423008" w:rsidRDefault="00423008" w:rsidP="00821003">
      <w:pPr>
        <w:pStyle w:val="Caption"/>
        <w:rPr>
          <w:rFonts w:cs="Times New Roman"/>
        </w:rPr>
      </w:pPr>
    </w:p>
    <w:p w14:paraId="1393CCD7" w14:textId="77777777" w:rsidR="00821003" w:rsidRDefault="00821003" w:rsidP="00821003"/>
    <w:p w14:paraId="28260290" w14:textId="77777777" w:rsidR="00821003" w:rsidRPr="00821003" w:rsidRDefault="00821003" w:rsidP="00821003"/>
    <w:p w14:paraId="553D1977" w14:textId="77777777" w:rsidR="00423008" w:rsidRDefault="00423008" w:rsidP="00397A55">
      <w:pPr>
        <w:pStyle w:val="Caption"/>
        <w:jc w:val="center"/>
        <w:rPr>
          <w:rFonts w:cs="Times New Roman"/>
        </w:rPr>
      </w:pPr>
    </w:p>
    <w:p w14:paraId="2406CB31" w14:textId="77777777" w:rsidR="002B6501" w:rsidRPr="002B6501" w:rsidRDefault="002B6501" w:rsidP="002B6501"/>
    <w:p w14:paraId="33ADCBED" w14:textId="77777777" w:rsidR="002344DE" w:rsidRDefault="002344DE" w:rsidP="002B6501">
      <w:pPr>
        <w:pStyle w:val="Caption"/>
        <w:rPr>
          <w:rFonts w:cs="Times New Roman"/>
        </w:rPr>
      </w:pPr>
    </w:p>
    <w:p w14:paraId="2D75149F" w14:textId="77777777" w:rsidR="00005D14" w:rsidRDefault="00F43EC3" w:rsidP="00BA68E0">
      <w:pPr>
        <w:pStyle w:val="Caption"/>
        <w:tabs>
          <w:tab w:val="left" w:pos="5250"/>
        </w:tabs>
        <w:jc w:val="left"/>
        <w:rPr>
          <w:rFonts w:cs="Times New Roman"/>
        </w:rPr>
      </w:pPr>
      <w:r>
        <w:rPr>
          <w:rFonts w:cs="Times New Roman"/>
        </w:rPr>
        <w:tab/>
      </w:r>
    </w:p>
    <w:p w14:paraId="73AD8B72" w14:textId="77777777" w:rsidR="007369FD" w:rsidRDefault="007369FD" w:rsidP="00D56B3B">
      <w:pPr>
        <w:pStyle w:val="Caption"/>
        <w:spacing w:after="0"/>
        <w:rPr>
          <w:rFonts w:cs="Times New Roman"/>
        </w:rPr>
      </w:pPr>
    </w:p>
    <w:p w14:paraId="11DDDC7F" w14:textId="1C899351" w:rsidR="00097C0D" w:rsidRDefault="00C615D8" w:rsidP="00D56B3B">
      <w:pPr>
        <w:pStyle w:val="Caption"/>
        <w:spacing w:after="0"/>
        <w:jc w:val="center"/>
        <w:rPr>
          <w:rFonts w:cs="Times New Roman"/>
        </w:rPr>
      </w:pPr>
      <w:r w:rsidRPr="00C33A35">
        <w:rPr>
          <w:rFonts w:cs="Times New Roman"/>
        </w:rPr>
        <w:t xml:space="preserve">Figure </w:t>
      </w:r>
      <w:r w:rsidRPr="00C33A35">
        <w:rPr>
          <w:rFonts w:cs="Times New Roman"/>
        </w:rPr>
        <w:fldChar w:fldCharType="begin"/>
      </w:r>
      <w:r w:rsidRPr="00C33A35">
        <w:rPr>
          <w:rFonts w:cs="Times New Roman"/>
        </w:rPr>
        <w:instrText xml:space="preserve"> SEQ Figure \* ARABIC </w:instrText>
      </w:r>
      <w:r w:rsidRPr="00C33A35">
        <w:rPr>
          <w:rFonts w:cs="Times New Roman"/>
        </w:rPr>
        <w:fldChar w:fldCharType="separate"/>
      </w:r>
      <w:r w:rsidRPr="00C33A35">
        <w:rPr>
          <w:rFonts w:cs="Times New Roman"/>
          <w:noProof/>
        </w:rPr>
        <w:t>2</w:t>
      </w:r>
      <w:r w:rsidRPr="00C33A35">
        <w:rPr>
          <w:rFonts w:cs="Times New Roman"/>
        </w:rPr>
        <w:fldChar w:fldCharType="end"/>
      </w:r>
      <w:r w:rsidRPr="00C33A35">
        <w:rPr>
          <w:rFonts w:cs="Times New Roman"/>
        </w:rPr>
        <w:t xml:space="preserve">.Calibration curve </w:t>
      </w:r>
      <w:r w:rsidR="00397A55" w:rsidRPr="00C33A35">
        <w:rPr>
          <w:rFonts w:cs="Times New Roman"/>
        </w:rPr>
        <w:t xml:space="preserve">of DTX </w:t>
      </w:r>
      <w:bookmarkStart w:id="5" w:name="_Hlk14170064"/>
      <w:r w:rsidR="00397A55" w:rsidRPr="00C33A35">
        <w:rPr>
          <w:rFonts w:cs="Times New Roman"/>
        </w:rPr>
        <w:t>in concentration range</w:t>
      </w:r>
      <w:r w:rsidR="00FC029A">
        <w:rPr>
          <w:rFonts w:cs="Times New Roman"/>
        </w:rPr>
        <w:t xml:space="preserve"> of</w:t>
      </w:r>
      <w:r w:rsidR="00397A55" w:rsidRPr="00C33A35">
        <w:rPr>
          <w:rFonts w:cs="Times New Roman"/>
        </w:rPr>
        <w:t xml:space="preserve"> 62.5 – 1000 μg/</w:t>
      </w:r>
      <w:r w:rsidR="002A67A1" w:rsidRPr="00C33A35">
        <w:rPr>
          <w:rFonts w:cs="Times New Roman"/>
        </w:rPr>
        <w:t>mL</w:t>
      </w:r>
      <w:bookmarkEnd w:id="5"/>
    </w:p>
    <w:p w14:paraId="64E54E02" w14:textId="77777777" w:rsidR="00D56B3B" w:rsidRPr="00D56B3B" w:rsidRDefault="00D56B3B" w:rsidP="00D56B3B"/>
    <w:p w14:paraId="0760B03C" w14:textId="77777777" w:rsidR="00397A55" w:rsidRDefault="00397A55" w:rsidP="00097C0D">
      <w:pPr>
        <w:pStyle w:val="Caption"/>
        <w:spacing w:after="120"/>
        <w:jc w:val="center"/>
        <w:rPr>
          <w:rFonts w:cs="Times New Roman"/>
        </w:rPr>
      </w:pPr>
      <w:r w:rsidRPr="00C33A35">
        <w:rPr>
          <w:rFonts w:cs="Times New Roman"/>
        </w:rPr>
        <w:t xml:space="preserve">Table </w:t>
      </w:r>
      <w:r w:rsidRPr="00C33A35">
        <w:rPr>
          <w:rFonts w:cs="Times New Roman"/>
        </w:rPr>
        <w:fldChar w:fldCharType="begin"/>
      </w:r>
      <w:r w:rsidRPr="00C33A35">
        <w:rPr>
          <w:rFonts w:cs="Times New Roman"/>
        </w:rPr>
        <w:instrText xml:space="preserve"> SEQ Table \* ARABIC </w:instrText>
      </w:r>
      <w:r w:rsidRPr="00C33A35">
        <w:rPr>
          <w:rFonts w:cs="Times New Roman"/>
        </w:rPr>
        <w:fldChar w:fldCharType="separate"/>
      </w:r>
      <w:r w:rsidR="00E51641">
        <w:rPr>
          <w:rFonts w:cs="Times New Roman"/>
          <w:noProof/>
        </w:rPr>
        <w:t>2</w:t>
      </w:r>
      <w:r w:rsidRPr="00C33A35">
        <w:rPr>
          <w:rFonts w:cs="Times New Roman"/>
        </w:rPr>
        <w:fldChar w:fldCharType="end"/>
      </w:r>
      <w:r w:rsidRPr="00C33A35">
        <w:rPr>
          <w:rFonts w:cs="Times New Roman"/>
        </w:rPr>
        <w:t>. Results of ANOVA analysis for calibration curve of DTX</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5"/>
        <w:gridCol w:w="1524"/>
        <w:gridCol w:w="394"/>
        <w:gridCol w:w="1329"/>
        <w:gridCol w:w="789"/>
        <w:gridCol w:w="1250"/>
      </w:tblGrid>
      <w:tr w:rsidR="00211BC8" w14:paraId="253BA192" w14:textId="77777777" w:rsidTr="00D56B3B">
        <w:trPr>
          <w:trHeight w:hRule="exact" w:val="284"/>
          <w:jc w:val="center"/>
        </w:trPr>
        <w:tc>
          <w:tcPr>
            <w:tcW w:w="0" w:type="auto"/>
            <w:gridSpan w:val="6"/>
            <w:tcBorders>
              <w:top w:val="single" w:sz="4" w:space="0" w:color="auto"/>
            </w:tcBorders>
          </w:tcPr>
          <w:p w14:paraId="235594D6" w14:textId="77777777" w:rsidR="00211BC8" w:rsidRPr="00D56B3B" w:rsidRDefault="00211BC8" w:rsidP="00F43EC3">
            <w:pPr>
              <w:jc w:val="center"/>
              <w:rPr>
                <w:b/>
                <w:bCs/>
                <w:vertAlign w:val="superscript"/>
              </w:rPr>
            </w:pPr>
            <w:r w:rsidRPr="00D56B3B">
              <w:rPr>
                <w:b/>
                <w:bCs/>
              </w:rPr>
              <w:t>ANOVA</w:t>
            </w:r>
            <w:r w:rsidRPr="00D56B3B">
              <w:rPr>
                <w:b/>
                <w:bCs/>
                <w:vertAlign w:val="superscript"/>
              </w:rPr>
              <w:t>b</w:t>
            </w:r>
          </w:p>
        </w:tc>
      </w:tr>
      <w:tr w:rsidR="00F43EC3" w14:paraId="24E5A7D7" w14:textId="77777777" w:rsidTr="00D56B3B">
        <w:trPr>
          <w:trHeight w:hRule="exact" w:val="284"/>
          <w:jc w:val="center"/>
        </w:trPr>
        <w:tc>
          <w:tcPr>
            <w:tcW w:w="0" w:type="auto"/>
            <w:tcBorders>
              <w:bottom w:val="single" w:sz="4" w:space="0" w:color="auto"/>
            </w:tcBorders>
          </w:tcPr>
          <w:p w14:paraId="7BB230FB" w14:textId="77777777" w:rsidR="00F43EC3" w:rsidRDefault="00F43EC3" w:rsidP="00097C0D">
            <w:pPr>
              <w:jc w:val="center"/>
            </w:pPr>
          </w:p>
        </w:tc>
        <w:tc>
          <w:tcPr>
            <w:tcW w:w="0" w:type="auto"/>
            <w:tcBorders>
              <w:bottom w:val="single" w:sz="4" w:space="0" w:color="auto"/>
            </w:tcBorders>
          </w:tcPr>
          <w:p w14:paraId="7E0E104E" w14:textId="77777777" w:rsidR="00F43EC3" w:rsidRPr="00D56B3B" w:rsidRDefault="00F43EC3" w:rsidP="00F43EC3">
            <w:pPr>
              <w:jc w:val="center"/>
              <w:rPr>
                <w:b/>
                <w:bCs/>
              </w:rPr>
            </w:pPr>
            <w:r w:rsidRPr="00D56B3B">
              <w:rPr>
                <w:b/>
                <w:bCs/>
              </w:rPr>
              <w:t>Sum of squares</w:t>
            </w:r>
          </w:p>
        </w:tc>
        <w:tc>
          <w:tcPr>
            <w:tcW w:w="0" w:type="auto"/>
            <w:tcBorders>
              <w:bottom w:val="single" w:sz="4" w:space="0" w:color="auto"/>
            </w:tcBorders>
          </w:tcPr>
          <w:p w14:paraId="7C947BBD" w14:textId="77777777" w:rsidR="00F43EC3" w:rsidRPr="00D56B3B" w:rsidRDefault="00F43EC3" w:rsidP="00F43EC3">
            <w:pPr>
              <w:jc w:val="center"/>
              <w:rPr>
                <w:b/>
                <w:bCs/>
              </w:rPr>
            </w:pPr>
            <w:r w:rsidRPr="00D56B3B">
              <w:rPr>
                <w:b/>
                <w:bCs/>
              </w:rPr>
              <w:t>df</w:t>
            </w:r>
          </w:p>
        </w:tc>
        <w:tc>
          <w:tcPr>
            <w:tcW w:w="0" w:type="auto"/>
            <w:tcBorders>
              <w:bottom w:val="single" w:sz="4" w:space="0" w:color="auto"/>
            </w:tcBorders>
          </w:tcPr>
          <w:p w14:paraId="675C0828" w14:textId="77777777" w:rsidR="00F43EC3" w:rsidRPr="00D56B3B" w:rsidRDefault="00F43EC3" w:rsidP="00F43EC3">
            <w:pPr>
              <w:jc w:val="center"/>
              <w:rPr>
                <w:b/>
                <w:bCs/>
              </w:rPr>
            </w:pPr>
            <w:r w:rsidRPr="00D56B3B">
              <w:rPr>
                <w:b/>
                <w:bCs/>
              </w:rPr>
              <w:t>Mean square</w:t>
            </w:r>
          </w:p>
        </w:tc>
        <w:tc>
          <w:tcPr>
            <w:tcW w:w="0" w:type="auto"/>
            <w:tcBorders>
              <w:bottom w:val="single" w:sz="4" w:space="0" w:color="auto"/>
            </w:tcBorders>
          </w:tcPr>
          <w:p w14:paraId="50B1C22B" w14:textId="77777777" w:rsidR="00F43EC3" w:rsidRPr="00D56B3B" w:rsidRDefault="00F43EC3" w:rsidP="00F43EC3">
            <w:pPr>
              <w:jc w:val="center"/>
              <w:rPr>
                <w:b/>
                <w:bCs/>
                <w:i/>
                <w:iCs/>
              </w:rPr>
            </w:pPr>
            <w:r w:rsidRPr="00D56B3B">
              <w:rPr>
                <w:b/>
                <w:bCs/>
                <w:i/>
                <w:iCs/>
              </w:rPr>
              <w:t>F</w:t>
            </w:r>
          </w:p>
        </w:tc>
        <w:tc>
          <w:tcPr>
            <w:tcW w:w="0" w:type="auto"/>
            <w:tcBorders>
              <w:bottom w:val="single" w:sz="4" w:space="0" w:color="auto"/>
            </w:tcBorders>
          </w:tcPr>
          <w:p w14:paraId="4E72CB14" w14:textId="77777777" w:rsidR="00F43EC3" w:rsidRPr="00D56B3B" w:rsidRDefault="00F43EC3" w:rsidP="00F43EC3">
            <w:pPr>
              <w:jc w:val="center"/>
              <w:rPr>
                <w:b/>
                <w:bCs/>
              </w:rPr>
            </w:pPr>
            <w:r w:rsidRPr="00D56B3B">
              <w:rPr>
                <w:b/>
                <w:bCs/>
              </w:rPr>
              <w:t>Significance</w:t>
            </w:r>
          </w:p>
        </w:tc>
      </w:tr>
      <w:tr w:rsidR="00393813" w14:paraId="2E11D679" w14:textId="77777777" w:rsidTr="00D56B3B">
        <w:trPr>
          <w:trHeight w:hRule="exact" w:val="113"/>
          <w:jc w:val="center"/>
        </w:trPr>
        <w:tc>
          <w:tcPr>
            <w:tcW w:w="0" w:type="auto"/>
            <w:tcBorders>
              <w:top w:val="single" w:sz="4" w:space="0" w:color="auto"/>
            </w:tcBorders>
          </w:tcPr>
          <w:p w14:paraId="1964BA53" w14:textId="77777777" w:rsidR="00393813" w:rsidRDefault="00393813" w:rsidP="00F43EC3"/>
        </w:tc>
        <w:tc>
          <w:tcPr>
            <w:tcW w:w="0" w:type="auto"/>
            <w:tcBorders>
              <w:top w:val="single" w:sz="4" w:space="0" w:color="auto"/>
            </w:tcBorders>
          </w:tcPr>
          <w:p w14:paraId="484CC61D" w14:textId="77777777" w:rsidR="00393813" w:rsidRDefault="00393813" w:rsidP="00097C0D">
            <w:pPr>
              <w:jc w:val="center"/>
            </w:pPr>
          </w:p>
        </w:tc>
        <w:tc>
          <w:tcPr>
            <w:tcW w:w="0" w:type="auto"/>
            <w:tcBorders>
              <w:top w:val="single" w:sz="4" w:space="0" w:color="auto"/>
            </w:tcBorders>
          </w:tcPr>
          <w:p w14:paraId="445916B5" w14:textId="77777777" w:rsidR="00393813" w:rsidRDefault="00393813" w:rsidP="00097C0D">
            <w:pPr>
              <w:jc w:val="center"/>
            </w:pPr>
          </w:p>
        </w:tc>
        <w:tc>
          <w:tcPr>
            <w:tcW w:w="0" w:type="auto"/>
            <w:tcBorders>
              <w:top w:val="single" w:sz="4" w:space="0" w:color="auto"/>
            </w:tcBorders>
          </w:tcPr>
          <w:p w14:paraId="28C9053B" w14:textId="77777777" w:rsidR="00393813" w:rsidRDefault="00393813" w:rsidP="00F43EC3">
            <w:pPr>
              <w:jc w:val="center"/>
            </w:pPr>
          </w:p>
        </w:tc>
        <w:tc>
          <w:tcPr>
            <w:tcW w:w="0" w:type="auto"/>
            <w:tcBorders>
              <w:top w:val="single" w:sz="4" w:space="0" w:color="auto"/>
            </w:tcBorders>
          </w:tcPr>
          <w:p w14:paraId="42DA7C5A" w14:textId="77777777" w:rsidR="00393813" w:rsidRDefault="00393813" w:rsidP="00F43EC3">
            <w:pPr>
              <w:jc w:val="center"/>
            </w:pPr>
          </w:p>
        </w:tc>
        <w:tc>
          <w:tcPr>
            <w:tcW w:w="0" w:type="auto"/>
            <w:tcBorders>
              <w:top w:val="single" w:sz="4" w:space="0" w:color="auto"/>
            </w:tcBorders>
          </w:tcPr>
          <w:p w14:paraId="52E17351" w14:textId="77777777" w:rsidR="00393813" w:rsidRDefault="00393813" w:rsidP="00F43EC3">
            <w:pPr>
              <w:jc w:val="center"/>
            </w:pPr>
          </w:p>
        </w:tc>
      </w:tr>
      <w:tr w:rsidR="00393813" w14:paraId="62D7674C" w14:textId="77777777" w:rsidTr="00D56B3B">
        <w:trPr>
          <w:trHeight w:hRule="exact" w:val="199"/>
          <w:jc w:val="center"/>
        </w:trPr>
        <w:tc>
          <w:tcPr>
            <w:tcW w:w="0" w:type="auto"/>
          </w:tcPr>
          <w:p w14:paraId="7D5DB6F2" w14:textId="77777777" w:rsidR="00393813" w:rsidRDefault="00393813" w:rsidP="00393813">
            <w:r>
              <w:t>Regression</w:t>
            </w:r>
          </w:p>
        </w:tc>
        <w:tc>
          <w:tcPr>
            <w:tcW w:w="0" w:type="auto"/>
          </w:tcPr>
          <w:p w14:paraId="0F405DB3" w14:textId="77777777" w:rsidR="00393813" w:rsidRDefault="00393813" w:rsidP="00393813">
            <w:pPr>
              <w:jc w:val="center"/>
            </w:pPr>
            <w:r>
              <w:t>2.2</w:t>
            </w:r>
            <w:r w:rsidR="008C6FEF">
              <w:t>8</w:t>
            </w:r>
            <w:r w:rsidRPr="00097C0D">
              <w:rPr>
                <w:i/>
                <w:iCs/>
              </w:rPr>
              <w:t>E</w:t>
            </w:r>
            <w:r>
              <w:t>11</w:t>
            </w:r>
          </w:p>
        </w:tc>
        <w:tc>
          <w:tcPr>
            <w:tcW w:w="0" w:type="auto"/>
          </w:tcPr>
          <w:p w14:paraId="33575234" w14:textId="77777777" w:rsidR="00393813" w:rsidRDefault="00393813" w:rsidP="00393813">
            <w:pPr>
              <w:jc w:val="center"/>
            </w:pPr>
            <w:r>
              <w:t>1</w:t>
            </w:r>
          </w:p>
        </w:tc>
        <w:tc>
          <w:tcPr>
            <w:tcW w:w="0" w:type="auto"/>
          </w:tcPr>
          <w:p w14:paraId="37F954E1" w14:textId="77777777" w:rsidR="00393813" w:rsidRDefault="00393813" w:rsidP="00393813">
            <w:pPr>
              <w:jc w:val="center"/>
            </w:pPr>
            <w:r>
              <w:t>2.2</w:t>
            </w:r>
            <w:r w:rsidR="008C6FEF">
              <w:t>8</w:t>
            </w:r>
            <w:r w:rsidRPr="00097C0D">
              <w:rPr>
                <w:i/>
                <w:iCs/>
              </w:rPr>
              <w:t>E</w:t>
            </w:r>
            <w:r>
              <w:t>11</w:t>
            </w:r>
          </w:p>
        </w:tc>
        <w:tc>
          <w:tcPr>
            <w:tcW w:w="0" w:type="auto"/>
          </w:tcPr>
          <w:p w14:paraId="733A1A38" w14:textId="77777777" w:rsidR="00393813" w:rsidRDefault="008C6FEF" w:rsidP="00393813">
            <w:pPr>
              <w:jc w:val="center"/>
            </w:pPr>
            <w:r>
              <w:t>1</w:t>
            </w:r>
            <w:r w:rsidR="005D5D5A">
              <w:t>.</w:t>
            </w:r>
            <w:r w:rsidR="004231A9">
              <w:t>49</w:t>
            </w:r>
            <w:r w:rsidR="004231A9" w:rsidRPr="004231A9">
              <w:rPr>
                <w:i/>
              </w:rPr>
              <w:t>E</w:t>
            </w:r>
            <w:r w:rsidR="004E0C24">
              <w:t>4</w:t>
            </w:r>
          </w:p>
        </w:tc>
        <w:tc>
          <w:tcPr>
            <w:tcW w:w="0" w:type="auto"/>
          </w:tcPr>
          <w:p w14:paraId="170CD86C" w14:textId="77777777" w:rsidR="00393813" w:rsidRPr="00211BC8" w:rsidRDefault="00393813" w:rsidP="00393813">
            <w:pPr>
              <w:jc w:val="center"/>
              <w:rPr>
                <w:vertAlign w:val="superscript"/>
              </w:rPr>
            </w:pPr>
            <w:r>
              <w:t>&lt;0.0001</w:t>
            </w:r>
            <w:r w:rsidR="00211BC8" w:rsidRPr="00211BC8">
              <w:rPr>
                <w:vertAlign w:val="superscript"/>
              </w:rPr>
              <w:t>a</w:t>
            </w:r>
          </w:p>
        </w:tc>
      </w:tr>
      <w:tr w:rsidR="00F43EC3" w14:paraId="34831AC9" w14:textId="77777777" w:rsidTr="00D56B3B">
        <w:trPr>
          <w:trHeight w:hRule="exact" w:val="189"/>
          <w:jc w:val="center"/>
        </w:trPr>
        <w:tc>
          <w:tcPr>
            <w:tcW w:w="0" w:type="auto"/>
          </w:tcPr>
          <w:p w14:paraId="7CA2B40F" w14:textId="77777777" w:rsidR="00F43EC3" w:rsidRDefault="00F43EC3" w:rsidP="00F43EC3">
            <w:r>
              <w:t>Residual</w:t>
            </w:r>
          </w:p>
        </w:tc>
        <w:tc>
          <w:tcPr>
            <w:tcW w:w="0" w:type="auto"/>
          </w:tcPr>
          <w:p w14:paraId="08E2A168" w14:textId="77777777" w:rsidR="00F43EC3" w:rsidRPr="00AC15CA" w:rsidRDefault="008C6FEF" w:rsidP="00097C0D">
            <w:pPr>
              <w:jc w:val="center"/>
            </w:pPr>
            <w:r w:rsidRPr="00AC15CA">
              <w:t>4.58</w:t>
            </w:r>
            <w:r w:rsidR="00097C0D" w:rsidRPr="00AC15CA">
              <w:rPr>
                <w:i/>
                <w:iCs/>
              </w:rPr>
              <w:t>E</w:t>
            </w:r>
            <w:r w:rsidRPr="00AC15CA">
              <w:t>6</w:t>
            </w:r>
          </w:p>
        </w:tc>
        <w:tc>
          <w:tcPr>
            <w:tcW w:w="0" w:type="auto"/>
          </w:tcPr>
          <w:p w14:paraId="7956D34B" w14:textId="77777777" w:rsidR="00F43EC3" w:rsidRDefault="00C57A61" w:rsidP="00097C0D">
            <w:pPr>
              <w:jc w:val="center"/>
            </w:pPr>
            <w:r>
              <w:t>3</w:t>
            </w:r>
          </w:p>
        </w:tc>
        <w:tc>
          <w:tcPr>
            <w:tcW w:w="0" w:type="auto"/>
          </w:tcPr>
          <w:p w14:paraId="12F4CD26" w14:textId="77777777" w:rsidR="00F43EC3" w:rsidRDefault="008C6FEF" w:rsidP="00097C0D">
            <w:pPr>
              <w:jc w:val="center"/>
            </w:pPr>
            <w:r>
              <w:rPr>
                <w:i/>
                <w:iCs/>
              </w:rPr>
              <w:t>1.53</w:t>
            </w:r>
            <w:r w:rsidR="00097C0D" w:rsidRPr="00097C0D">
              <w:rPr>
                <w:i/>
                <w:iCs/>
              </w:rPr>
              <w:t>E</w:t>
            </w:r>
            <w:r w:rsidR="00097C0D">
              <w:t>6</w:t>
            </w:r>
          </w:p>
        </w:tc>
        <w:tc>
          <w:tcPr>
            <w:tcW w:w="0" w:type="auto"/>
          </w:tcPr>
          <w:p w14:paraId="546EE9AB" w14:textId="77777777" w:rsidR="00F43EC3" w:rsidRDefault="00F43EC3" w:rsidP="00F43EC3"/>
        </w:tc>
        <w:tc>
          <w:tcPr>
            <w:tcW w:w="0" w:type="auto"/>
          </w:tcPr>
          <w:p w14:paraId="3E072E2C" w14:textId="77777777" w:rsidR="00F43EC3" w:rsidRDefault="00F43EC3" w:rsidP="00F43EC3"/>
        </w:tc>
      </w:tr>
      <w:tr w:rsidR="00F43EC3" w14:paraId="51D50618" w14:textId="77777777" w:rsidTr="00D56B3B">
        <w:trPr>
          <w:trHeight w:hRule="exact" w:val="207"/>
          <w:jc w:val="center"/>
        </w:trPr>
        <w:tc>
          <w:tcPr>
            <w:tcW w:w="0" w:type="auto"/>
          </w:tcPr>
          <w:p w14:paraId="24A771D4" w14:textId="77777777" w:rsidR="00F43EC3" w:rsidRDefault="00F43EC3" w:rsidP="00F43EC3">
            <w:r>
              <w:t>Total</w:t>
            </w:r>
          </w:p>
        </w:tc>
        <w:tc>
          <w:tcPr>
            <w:tcW w:w="0" w:type="auto"/>
          </w:tcPr>
          <w:p w14:paraId="46C69F91" w14:textId="77777777" w:rsidR="00F43EC3" w:rsidRDefault="00097C0D" w:rsidP="00097C0D">
            <w:pPr>
              <w:jc w:val="center"/>
            </w:pPr>
            <w:r>
              <w:t>2.2</w:t>
            </w:r>
            <w:r w:rsidR="008C6FEF">
              <w:t>8</w:t>
            </w:r>
            <w:r w:rsidRPr="00097C0D">
              <w:rPr>
                <w:i/>
                <w:iCs/>
              </w:rPr>
              <w:t>E</w:t>
            </w:r>
            <w:r>
              <w:t>11</w:t>
            </w:r>
          </w:p>
        </w:tc>
        <w:tc>
          <w:tcPr>
            <w:tcW w:w="0" w:type="auto"/>
          </w:tcPr>
          <w:p w14:paraId="4CE45770" w14:textId="77777777" w:rsidR="00F43EC3" w:rsidRDefault="00C57A61" w:rsidP="00097C0D">
            <w:pPr>
              <w:jc w:val="center"/>
            </w:pPr>
            <w:r>
              <w:t>4</w:t>
            </w:r>
          </w:p>
        </w:tc>
        <w:tc>
          <w:tcPr>
            <w:tcW w:w="0" w:type="auto"/>
          </w:tcPr>
          <w:p w14:paraId="6EFB54C0" w14:textId="77777777" w:rsidR="00F43EC3" w:rsidRDefault="00F43EC3" w:rsidP="00F43EC3"/>
        </w:tc>
        <w:tc>
          <w:tcPr>
            <w:tcW w:w="0" w:type="auto"/>
          </w:tcPr>
          <w:p w14:paraId="3AEF4DA0" w14:textId="77777777" w:rsidR="00F43EC3" w:rsidRDefault="00F43EC3" w:rsidP="00F43EC3"/>
        </w:tc>
        <w:tc>
          <w:tcPr>
            <w:tcW w:w="0" w:type="auto"/>
          </w:tcPr>
          <w:p w14:paraId="0981C0FB" w14:textId="77777777" w:rsidR="00F43EC3" w:rsidRDefault="00F43EC3" w:rsidP="00F43EC3"/>
        </w:tc>
      </w:tr>
      <w:tr w:rsidR="00393813" w14:paraId="5E6C741C" w14:textId="77777777" w:rsidTr="00D56B3B">
        <w:trPr>
          <w:trHeight w:hRule="exact" w:val="113"/>
          <w:jc w:val="center"/>
        </w:trPr>
        <w:tc>
          <w:tcPr>
            <w:tcW w:w="0" w:type="auto"/>
            <w:tcBorders>
              <w:bottom w:val="single" w:sz="4" w:space="0" w:color="auto"/>
            </w:tcBorders>
          </w:tcPr>
          <w:p w14:paraId="7457A74C" w14:textId="77777777" w:rsidR="00393813" w:rsidRDefault="00393813" w:rsidP="00F43EC3"/>
        </w:tc>
        <w:tc>
          <w:tcPr>
            <w:tcW w:w="0" w:type="auto"/>
            <w:tcBorders>
              <w:bottom w:val="single" w:sz="4" w:space="0" w:color="auto"/>
            </w:tcBorders>
          </w:tcPr>
          <w:p w14:paraId="61BA13FB" w14:textId="77777777" w:rsidR="00393813" w:rsidRDefault="00393813" w:rsidP="00097C0D">
            <w:pPr>
              <w:jc w:val="center"/>
            </w:pPr>
          </w:p>
        </w:tc>
        <w:tc>
          <w:tcPr>
            <w:tcW w:w="0" w:type="auto"/>
            <w:tcBorders>
              <w:bottom w:val="single" w:sz="4" w:space="0" w:color="auto"/>
            </w:tcBorders>
          </w:tcPr>
          <w:p w14:paraId="3A9D6A50" w14:textId="77777777" w:rsidR="00393813" w:rsidRDefault="00393813" w:rsidP="00097C0D">
            <w:pPr>
              <w:jc w:val="center"/>
            </w:pPr>
          </w:p>
        </w:tc>
        <w:tc>
          <w:tcPr>
            <w:tcW w:w="0" w:type="auto"/>
            <w:tcBorders>
              <w:bottom w:val="single" w:sz="4" w:space="0" w:color="auto"/>
            </w:tcBorders>
          </w:tcPr>
          <w:p w14:paraId="440448A4" w14:textId="77777777" w:rsidR="00393813" w:rsidRDefault="00393813" w:rsidP="00F43EC3"/>
        </w:tc>
        <w:tc>
          <w:tcPr>
            <w:tcW w:w="0" w:type="auto"/>
            <w:tcBorders>
              <w:bottom w:val="single" w:sz="4" w:space="0" w:color="auto"/>
            </w:tcBorders>
          </w:tcPr>
          <w:p w14:paraId="7363A3A7" w14:textId="77777777" w:rsidR="00393813" w:rsidRDefault="00393813" w:rsidP="00F43EC3"/>
        </w:tc>
        <w:tc>
          <w:tcPr>
            <w:tcW w:w="0" w:type="auto"/>
            <w:tcBorders>
              <w:bottom w:val="single" w:sz="4" w:space="0" w:color="auto"/>
            </w:tcBorders>
          </w:tcPr>
          <w:p w14:paraId="508A22F8" w14:textId="77777777" w:rsidR="00393813" w:rsidRDefault="00393813" w:rsidP="00F43EC3"/>
        </w:tc>
      </w:tr>
    </w:tbl>
    <w:p w14:paraId="01AF4538" w14:textId="237453F9" w:rsidR="00821003" w:rsidRDefault="00D56B3B" w:rsidP="00D56B3B">
      <w:pPr>
        <w:ind w:left="720"/>
      </w:pPr>
      <w:r>
        <w:rPr>
          <w:sz w:val="16"/>
          <w:szCs w:val="18"/>
          <w:vertAlign w:val="superscript"/>
        </w:rPr>
        <w:t xml:space="preserve">                       </w:t>
      </w:r>
      <w:r w:rsidR="00211BC8" w:rsidRPr="00AC15CA">
        <w:rPr>
          <w:sz w:val="16"/>
          <w:szCs w:val="18"/>
          <w:vertAlign w:val="superscript"/>
        </w:rPr>
        <w:t>a</w:t>
      </w:r>
      <w:r w:rsidR="00F83DE7" w:rsidRPr="00AC15CA">
        <w:rPr>
          <w:sz w:val="16"/>
          <w:szCs w:val="18"/>
        </w:rPr>
        <w:t>Predictor</w:t>
      </w:r>
      <w:r w:rsidR="00211BC8" w:rsidRPr="00AC15CA">
        <w:rPr>
          <w:sz w:val="16"/>
          <w:szCs w:val="18"/>
        </w:rPr>
        <w:t xml:space="preserve">: (constant), conc, </w:t>
      </w:r>
      <w:r w:rsidR="00211BC8" w:rsidRPr="00AC15CA">
        <w:rPr>
          <w:sz w:val="16"/>
          <w:szCs w:val="18"/>
          <w:vertAlign w:val="superscript"/>
        </w:rPr>
        <w:t>b</w:t>
      </w:r>
      <w:r w:rsidR="00211BC8" w:rsidRPr="00AC15CA">
        <w:rPr>
          <w:sz w:val="16"/>
          <w:szCs w:val="18"/>
        </w:rPr>
        <w:t>dependent variable: area</w:t>
      </w:r>
    </w:p>
    <w:p w14:paraId="10218534" w14:textId="77777777" w:rsidR="00D56B3B" w:rsidRDefault="00D56B3B" w:rsidP="001C00E4"/>
    <w:p w14:paraId="17F1440C" w14:textId="0B5B8BD0" w:rsidR="001C00E4" w:rsidRDefault="00086FC8" w:rsidP="00D56B3B">
      <w:r>
        <w:t xml:space="preserve">The intra-day and inter-day precision </w:t>
      </w:r>
      <w:r w:rsidR="0051575E">
        <w:t>and</w:t>
      </w:r>
      <w:r>
        <w:t xml:space="preserve"> repeatability for DTX were</w:t>
      </w:r>
      <w:r w:rsidR="00BE24A6">
        <w:t xml:space="preserve"> both</w:t>
      </w:r>
      <w:r>
        <w:t xml:space="preserve"> found to be </w:t>
      </w:r>
      <w:r w:rsidRPr="00BE24A6">
        <w:t>between 0.</w:t>
      </w:r>
      <w:r w:rsidR="00BE24A6" w:rsidRPr="00BE24A6">
        <w:t>8</w:t>
      </w:r>
      <w:r w:rsidR="00D56B3B">
        <w:t>-</w:t>
      </w:r>
      <w:r w:rsidRPr="00BE24A6">
        <w:t>1.9%. In</w:t>
      </w:r>
      <w:r>
        <w:t xml:space="preserve"> both cases, the </w:t>
      </w:r>
      <w:r w:rsidR="006372CC">
        <w:t>percentage of CV values was</w:t>
      </w:r>
      <w:r>
        <w:t xml:space="preserve"> found to be</w:t>
      </w:r>
      <w:r w:rsidR="00D526EA">
        <w:t xml:space="preserve"> </w:t>
      </w:r>
      <w:r w:rsidR="00B93161">
        <w:t>within the</w:t>
      </w:r>
      <w:r w:rsidR="00D526EA">
        <w:t xml:space="preserve"> acceptable limits </w:t>
      </w:r>
      <w:r w:rsidR="00722FDC">
        <w:t xml:space="preserve">of </w:t>
      </w:r>
      <w:r w:rsidR="006372CC">
        <w:t xml:space="preserve">ICH </w:t>
      </w:r>
      <w:r w:rsidR="00722FDC" w:rsidRPr="00527F3E">
        <w:t xml:space="preserve">specification </w:t>
      </w:r>
      <w:r w:rsidR="00D526EA" w:rsidRPr="00527F3E">
        <w:t xml:space="preserve">which is </w:t>
      </w:r>
      <w:r w:rsidR="00B93161" w:rsidRPr="00527F3E">
        <w:t>less than</w:t>
      </w:r>
      <w:r w:rsidR="00D526EA" w:rsidRPr="00527F3E">
        <w:t xml:space="preserve"> </w:t>
      </w:r>
      <w:r w:rsidR="00B50717" w:rsidRPr="00527F3E">
        <w:t>2</w:t>
      </w:r>
      <w:r w:rsidR="00D526EA" w:rsidRPr="00527F3E">
        <w:t>%</w:t>
      </w:r>
      <w:r w:rsidRPr="00527F3E">
        <w:t xml:space="preserve">. Therefore, the method is </w:t>
      </w:r>
      <w:r w:rsidR="00D526EA" w:rsidRPr="00527F3E">
        <w:t>demonstrated</w:t>
      </w:r>
      <w:r w:rsidRPr="00527F3E">
        <w:t xml:space="preserve"> to be </w:t>
      </w:r>
      <w:r w:rsidR="00D526EA" w:rsidRPr="00527F3E">
        <w:t xml:space="preserve">precise and </w:t>
      </w:r>
      <w:r w:rsidRPr="00527F3E">
        <w:t>re</w:t>
      </w:r>
      <w:r w:rsidR="00D526EA" w:rsidRPr="00527F3E">
        <w:t>producible with</w:t>
      </w:r>
      <w:r w:rsidRPr="00527F3E">
        <w:t xml:space="preserve"> </w:t>
      </w:r>
      <w:r w:rsidR="00722FDC" w:rsidRPr="00527F3E">
        <w:t xml:space="preserve">less variation in the results regardless of whether the </w:t>
      </w:r>
      <w:r w:rsidR="00527F3E" w:rsidRPr="00527F3E">
        <w:t xml:space="preserve">quantification of DTX (similar experiment) </w:t>
      </w:r>
      <w:r w:rsidR="00722FDC" w:rsidRPr="00527F3E">
        <w:t>is perform</w:t>
      </w:r>
      <w:r w:rsidR="00527F3E" w:rsidRPr="00527F3E">
        <w:t xml:space="preserve"> several times within-day (intra-day) or between-day (inter-day)</w:t>
      </w:r>
      <w:r w:rsidRPr="00527F3E">
        <w:t xml:space="preserve">. The percentage of </w:t>
      </w:r>
      <w:r w:rsidR="00527F3E" w:rsidRPr="00527F3E">
        <w:t>CV</w:t>
      </w:r>
      <w:r w:rsidRPr="00527F3E">
        <w:t xml:space="preserve"> value for </w:t>
      </w:r>
      <w:r w:rsidR="00527F3E" w:rsidRPr="00527F3E">
        <w:t xml:space="preserve">precision and </w:t>
      </w:r>
      <w:r w:rsidRPr="00527F3E">
        <w:t xml:space="preserve">repeatability is summarized in Table </w:t>
      </w:r>
      <w:r w:rsidR="00940B08">
        <w:t>3</w:t>
      </w:r>
      <w:r w:rsidRPr="00527F3E">
        <w:t>.</w:t>
      </w:r>
      <w:r w:rsidR="001C00E4">
        <w:t xml:space="preserve"> The results of accuracy study (Table 4) demonstrated of high rate of recovery from 93.3 to 99.9% </w:t>
      </w:r>
      <w:r w:rsidR="001C00E4" w:rsidRPr="00527F3E">
        <w:t>over i</w:t>
      </w:r>
      <w:r w:rsidR="001C00E4">
        <w:t>ts</w:t>
      </w:r>
      <w:r w:rsidR="001C00E4" w:rsidRPr="00527F3E">
        <w:t xml:space="preserve"> therapeutic</w:t>
      </w:r>
      <w:r w:rsidR="001C00E4">
        <w:t xml:space="preserve"> range. Furthermore, the CV value between the measurements in all concentrations did not exceed 5%</w:t>
      </w:r>
      <w:r w:rsidR="00AF13E4">
        <w:t>. The method was proven to be accurate in quantitating DTX where the measured concentrations were close to the nominal concentrations</w:t>
      </w:r>
      <w:r w:rsidR="001C00E4">
        <w:t>.</w:t>
      </w:r>
      <w:r w:rsidR="009031A7">
        <w:t xml:space="preserve"> </w:t>
      </w:r>
    </w:p>
    <w:p w14:paraId="520F568B" w14:textId="77777777" w:rsidR="00D56B3B" w:rsidRPr="001C00E4" w:rsidRDefault="00D56B3B" w:rsidP="00D56B3B"/>
    <w:p w14:paraId="1DCC43DF" w14:textId="77777777" w:rsidR="00397A55" w:rsidRDefault="00397A55" w:rsidP="007435AB">
      <w:pPr>
        <w:pStyle w:val="Caption"/>
        <w:spacing w:after="120"/>
        <w:ind w:firstLine="142"/>
        <w:jc w:val="center"/>
        <w:rPr>
          <w:rFonts w:cs="Times New Roman"/>
        </w:rPr>
      </w:pPr>
      <w:r w:rsidRPr="00C33A35">
        <w:rPr>
          <w:rFonts w:cs="Times New Roman"/>
        </w:rPr>
        <w:t xml:space="preserve">Table </w:t>
      </w:r>
      <w:r w:rsidRPr="00C33A35">
        <w:rPr>
          <w:rFonts w:cs="Times New Roman"/>
        </w:rPr>
        <w:fldChar w:fldCharType="begin"/>
      </w:r>
      <w:r w:rsidRPr="00C33A35">
        <w:rPr>
          <w:rFonts w:cs="Times New Roman"/>
        </w:rPr>
        <w:instrText xml:space="preserve"> SEQ Table \* ARABIC </w:instrText>
      </w:r>
      <w:r w:rsidRPr="00C33A35">
        <w:rPr>
          <w:rFonts w:cs="Times New Roman"/>
        </w:rPr>
        <w:fldChar w:fldCharType="separate"/>
      </w:r>
      <w:r w:rsidR="00E51641">
        <w:rPr>
          <w:rFonts w:cs="Times New Roman"/>
          <w:noProof/>
        </w:rPr>
        <w:t>3</w:t>
      </w:r>
      <w:r w:rsidRPr="00C33A35">
        <w:rPr>
          <w:rFonts w:cs="Times New Roman"/>
        </w:rPr>
        <w:fldChar w:fldCharType="end"/>
      </w:r>
      <w:r w:rsidRPr="00C33A35">
        <w:rPr>
          <w:rFonts w:cs="Times New Roman"/>
        </w:rPr>
        <w:t xml:space="preserve">. Results of </w:t>
      </w:r>
      <w:r w:rsidR="0051575E">
        <w:rPr>
          <w:rFonts w:cs="Times New Roman"/>
        </w:rPr>
        <w:t xml:space="preserve">precision and </w:t>
      </w:r>
      <w:r w:rsidR="00086FC8">
        <w:rPr>
          <w:rFonts w:cs="Times New Roman"/>
        </w:rPr>
        <w:t>repeatability</w:t>
      </w:r>
      <w:r w:rsidR="00E56709">
        <w:rPr>
          <w:rFonts w:cs="Times New Roman"/>
        </w:rPr>
        <w:t xml:space="preserve"> for determination of DTX</w:t>
      </w:r>
    </w:p>
    <w:tbl>
      <w:tblPr>
        <w:tblStyle w:val="GridTable1Light"/>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54"/>
        <w:gridCol w:w="1703"/>
        <w:gridCol w:w="596"/>
        <w:gridCol w:w="942"/>
        <w:gridCol w:w="1396"/>
        <w:gridCol w:w="651"/>
        <w:gridCol w:w="628"/>
      </w:tblGrid>
      <w:tr w:rsidR="00131D25" w:rsidRPr="00D56B3B" w14:paraId="0069082E" w14:textId="77777777" w:rsidTr="00D56B3B">
        <w:trPr>
          <w:cnfStyle w:val="100000000000" w:firstRow="1" w:lastRow="0" w:firstColumn="0" w:lastColumn="0" w:oddVBand="0" w:evenVBand="0" w:oddHBand="0"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1654" w:type="dxa"/>
            <w:vMerge w:val="restart"/>
            <w:tcBorders>
              <w:top w:val="single" w:sz="4" w:space="0" w:color="000000"/>
              <w:bottom w:val="none" w:sz="0" w:space="0" w:color="auto"/>
            </w:tcBorders>
          </w:tcPr>
          <w:p w14:paraId="40548EBD" w14:textId="77777777" w:rsidR="004B315B" w:rsidRPr="00D56B3B" w:rsidRDefault="004B315B" w:rsidP="00232F05">
            <w:pPr>
              <w:jc w:val="center"/>
            </w:pPr>
            <w:r w:rsidRPr="00D56B3B">
              <w:t>Concentration</w:t>
            </w:r>
          </w:p>
          <w:p w14:paraId="06F4C281" w14:textId="77777777" w:rsidR="004B315B" w:rsidRPr="00D56B3B" w:rsidRDefault="004B315B" w:rsidP="00232F05">
            <w:pPr>
              <w:jc w:val="center"/>
            </w:pPr>
            <w:r w:rsidRPr="00D56B3B">
              <w:rPr>
                <w:rFonts w:cs="Times New Roman"/>
              </w:rPr>
              <w:t>(μg</w:t>
            </w:r>
            <w:r w:rsidRPr="00D56B3B">
              <w:t>/mL)</w:t>
            </w:r>
          </w:p>
        </w:tc>
        <w:tc>
          <w:tcPr>
            <w:tcW w:w="3241" w:type="dxa"/>
            <w:gridSpan w:val="3"/>
            <w:tcBorders>
              <w:top w:val="single" w:sz="4" w:space="0" w:color="000000"/>
              <w:bottom w:val="single" w:sz="4" w:space="0" w:color="000000"/>
            </w:tcBorders>
          </w:tcPr>
          <w:p w14:paraId="76D67A2B" w14:textId="77777777" w:rsidR="004B315B" w:rsidRPr="00D56B3B" w:rsidRDefault="004B315B" w:rsidP="00457AC3">
            <w:pPr>
              <w:jc w:val="center"/>
              <w:cnfStyle w:val="100000000000" w:firstRow="1" w:lastRow="0" w:firstColumn="0" w:lastColumn="0" w:oddVBand="0" w:evenVBand="0" w:oddHBand="0" w:evenHBand="0" w:firstRowFirstColumn="0" w:firstRowLastColumn="0" w:lastRowFirstColumn="0" w:lastRowLastColumn="0"/>
            </w:pPr>
            <w:r w:rsidRPr="00D56B3B">
              <w:t>Intra-day</w:t>
            </w:r>
            <w:r w:rsidR="005D0911" w:rsidRPr="00D56B3B">
              <w:t xml:space="preserve"> (n = 3)</w:t>
            </w:r>
          </w:p>
        </w:tc>
        <w:tc>
          <w:tcPr>
            <w:tcW w:w="0" w:type="auto"/>
            <w:gridSpan w:val="3"/>
            <w:tcBorders>
              <w:top w:val="single" w:sz="4" w:space="0" w:color="000000"/>
              <w:bottom w:val="none" w:sz="0" w:space="0" w:color="auto"/>
            </w:tcBorders>
          </w:tcPr>
          <w:p w14:paraId="1D19C360" w14:textId="77777777" w:rsidR="004B315B" w:rsidRPr="00D56B3B" w:rsidRDefault="004B315B" w:rsidP="00457AC3">
            <w:pPr>
              <w:jc w:val="center"/>
              <w:cnfStyle w:val="100000000000" w:firstRow="1" w:lastRow="0" w:firstColumn="0" w:lastColumn="0" w:oddVBand="0" w:evenVBand="0" w:oddHBand="0" w:evenHBand="0" w:firstRowFirstColumn="0" w:firstRowLastColumn="0" w:lastRowFirstColumn="0" w:lastRowLastColumn="0"/>
            </w:pPr>
            <w:r w:rsidRPr="00D56B3B">
              <w:t>Inter-day</w:t>
            </w:r>
            <w:r w:rsidR="005D0911" w:rsidRPr="00D56B3B">
              <w:t xml:space="preserve"> (n = 3)</w:t>
            </w:r>
          </w:p>
        </w:tc>
      </w:tr>
      <w:tr w:rsidR="00131D25" w:rsidRPr="00D56B3B" w14:paraId="0134638F" w14:textId="77777777" w:rsidTr="00D56B3B">
        <w:trPr>
          <w:trHeight w:hRule="exact" w:val="239"/>
          <w:jc w:val="center"/>
        </w:trPr>
        <w:tc>
          <w:tcPr>
            <w:cnfStyle w:val="001000000000" w:firstRow="0" w:lastRow="0" w:firstColumn="1" w:lastColumn="0" w:oddVBand="0" w:evenVBand="0" w:oddHBand="0" w:evenHBand="0" w:firstRowFirstColumn="0" w:firstRowLastColumn="0" w:lastRowFirstColumn="0" w:lastRowLastColumn="0"/>
            <w:tcW w:w="1654" w:type="dxa"/>
            <w:vMerge/>
            <w:tcBorders>
              <w:bottom w:val="single" w:sz="4" w:space="0" w:color="000000"/>
            </w:tcBorders>
          </w:tcPr>
          <w:p w14:paraId="586B7911" w14:textId="77777777" w:rsidR="00131D25" w:rsidRPr="00D56B3B" w:rsidRDefault="00131D25" w:rsidP="00457AC3">
            <w:pPr>
              <w:jc w:val="center"/>
            </w:pPr>
            <w:bookmarkStart w:id="6" w:name="_Hlk14078775"/>
          </w:p>
        </w:tc>
        <w:tc>
          <w:tcPr>
            <w:tcW w:w="1600" w:type="dxa"/>
            <w:tcBorders>
              <w:top w:val="single" w:sz="4" w:space="0" w:color="000000"/>
              <w:bottom w:val="single" w:sz="4" w:space="0" w:color="000000"/>
            </w:tcBorders>
          </w:tcPr>
          <w:p w14:paraId="2E106F66" w14:textId="77777777" w:rsidR="00131D25" w:rsidRPr="00D56B3B" w:rsidRDefault="00131D25" w:rsidP="00457AC3">
            <w:pPr>
              <w:jc w:val="center"/>
              <w:cnfStyle w:val="000000000000" w:firstRow="0" w:lastRow="0" w:firstColumn="0" w:lastColumn="0" w:oddVBand="0" w:evenVBand="0" w:oddHBand="0" w:evenHBand="0" w:firstRowFirstColumn="0" w:firstRowLastColumn="0" w:lastRowFirstColumn="0" w:lastRowLastColumn="0"/>
              <w:rPr>
                <w:b/>
                <w:bCs/>
              </w:rPr>
            </w:pPr>
            <w:r w:rsidRPr="00D56B3B">
              <w:rPr>
                <w:b/>
                <w:bCs/>
              </w:rPr>
              <w:t>MC (</w:t>
            </w:r>
            <w:r w:rsidRPr="00D56B3B">
              <w:rPr>
                <w:rFonts w:cs="Times New Roman"/>
                <w:b/>
                <w:bCs/>
              </w:rPr>
              <w:t>μ</w:t>
            </w:r>
            <w:r w:rsidRPr="00D56B3B">
              <w:rPr>
                <w:b/>
                <w:bCs/>
              </w:rPr>
              <w:t>g/mL)</w:t>
            </w:r>
          </w:p>
        </w:tc>
        <w:tc>
          <w:tcPr>
            <w:tcW w:w="0" w:type="auto"/>
            <w:tcBorders>
              <w:top w:val="single" w:sz="4" w:space="0" w:color="000000"/>
              <w:bottom w:val="single" w:sz="4" w:space="0" w:color="000000"/>
            </w:tcBorders>
          </w:tcPr>
          <w:p w14:paraId="478E6556" w14:textId="77777777" w:rsidR="00131D25" w:rsidRPr="00D56B3B" w:rsidRDefault="00131D25" w:rsidP="00457AC3">
            <w:pPr>
              <w:ind w:hanging="106"/>
              <w:jc w:val="center"/>
              <w:cnfStyle w:val="000000000000" w:firstRow="0" w:lastRow="0" w:firstColumn="0" w:lastColumn="0" w:oddVBand="0" w:evenVBand="0" w:oddHBand="0" w:evenHBand="0" w:firstRowFirstColumn="0" w:firstRowLastColumn="0" w:lastRowFirstColumn="0" w:lastRowLastColumn="0"/>
              <w:rPr>
                <w:b/>
                <w:bCs/>
              </w:rPr>
            </w:pPr>
            <w:r w:rsidRPr="00D56B3B">
              <w:rPr>
                <w:b/>
                <w:bCs/>
              </w:rPr>
              <w:t>SD</w:t>
            </w:r>
          </w:p>
        </w:tc>
        <w:tc>
          <w:tcPr>
            <w:tcW w:w="0" w:type="auto"/>
            <w:tcBorders>
              <w:bottom w:val="single" w:sz="4" w:space="0" w:color="000000"/>
            </w:tcBorders>
          </w:tcPr>
          <w:p w14:paraId="3CD26072" w14:textId="77777777" w:rsidR="00131D25" w:rsidRPr="00D56B3B" w:rsidRDefault="00131D25" w:rsidP="00457AC3">
            <w:pPr>
              <w:ind w:firstLine="38"/>
              <w:jc w:val="left"/>
              <w:cnfStyle w:val="000000000000" w:firstRow="0" w:lastRow="0" w:firstColumn="0" w:lastColumn="0" w:oddVBand="0" w:evenVBand="0" w:oddHBand="0" w:evenHBand="0" w:firstRowFirstColumn="0" w:firstRowLastColumn="0" w:lastRowFirstColumn="0" w:lastRowLastColumn="0"/>
              <w:rPr>
                <w:b/>
                <w:bCs/>
              </w:rPr>
            </w:pPr>
            <w:r w:rsidRPr="00D56B3B">
              <w:rPr>
                <w:b/>
                <w:bCs/>
              </w:rPr>
              <w:t>CV (%)</w:t>
            </w:r>
          </w:p>
        </w:tc>
        <w:tc>
          <w:tcPr>
            <w:tcW w:w="1396" w:type="dxa"/>
            <w:tcBorders>
              <w:bottom w:val="single" w:sz="4" w:space="0" w:color="000000"/>
            </w:tcBorders>
          </w:tcPr>
          <w:p w14:paraId="6DCAC4D6" w14:textId="77777777" w:rsidR="00131D25" w:rsidRPr="00D56B3B" w:rsidRDefault="00131D25" w:rsidP="00457AC3">
            <w:pPr>
              <w:ind w:hanging="252"/>
              <w:jc w:val="center"/>
              <w:cnfStyle w:val="000000000000" w:firstRow="0" w:lastRow="0" w:firstColumn="0" w:lastColumn="0" w:oddVBand="0" w:evenVBand="0" w:oddHBand="0" w:evenHBand="0" w:firstRowFirstColumn="0" w:firstRowLastColumn="0" w:lastRowFirstColumn="0" w:lastRowLastColumn="0"/>
              <w:rPr>
                <w:b/>
                <w:bCs/>
              </w:rPr>
            </w:pPr>
            <w:r w:rsidRPr="00D56B3B">
              <w:rPr>
                <w:b/>
                <w:bCs/>
              </w:rPr>
              <w:t>MC (μg/mL)</w:t>
            </w:r>
          </w:p>
        </w:tc>
        <w:tc>
          <w:tcPr>
            <w:tcW w:w="651" w:type="dxa"/>
            <w:tcBorders>
              <w:bottom w:val="single" w:sz="4" w:space="0" w:color="000000"/>
            </w:tcBorders>
          </w:tcPr>
          <w:p w14:paraId="16EE3444" w14:textId="77777777" w:rsidR="00131D25" w:rsidRPr="00D56B3B" w:rsidRDefault="00131D25" w:rsidP="00457AC3">
            <w:pPr>
              <w:ind w:hanging="251"/>
              <w:jc w:val="center"/>
              <w:cnfStyle w:val="000000000000" w:firstRow="0" w:lastRow="0" w:firstColumn="0" w:lastColumn="0" w:oddVBand="0" w:evenVBand="0" w:oddHBand="0" w:evenHBand="0" w:firstRowFirstColumn="0" w:firstRowLastColumn="0" w:lastRowFirstColumn="0" w:lastRowLastColumn="0"/>
              <w:rPr>
                <w:b/>
                <w:bCs/>
              </w:rPr>
            </w:pPr>
            <w:r w:rsidRPr="00D56B3B">
              <w:rPr>
                <w:b/>
                <w:bCs/>
              </w:rPr>
              <w:t>SD</w:t>
            </w:r>
          </w:p>
        </w:tc>
        <w:tc>
          <w:tcPr>
            <w:tcW w:w="0" w:type="auto"/>
            <w:tcBorders>
              <w:bottom w:val="single" w:sz="4" w:space="0" w:color="000000"/>
            </w:tcBorders>
          </w:tcPr>
          <w:p w14:paraId="4B57C52E" w14:textId="77777777" w:rsidR="00131D25" w:rsidRPr="00D56B3B" w:rsidRDefault="00131D25" w:rsidP="00457AC3">
            <w:pPr>
              <w:ind w:hanging="257"/>
              <w:jc w:val="center"/>
              <w:cnfStyle w:val="000000000000" w:firstRow="0" w:lastRow="0" w:firstColumn="0" w:lastColumn="0" w:oddVBand="0" w:evenVBand="0" w:oddHBand="0" w:evenHBand="0" w:firstRowFirstColumn="0" w:firstRowLastColumn="0" w:lastRowFirstColumn="0" w:lastRowLastColumn="0"/>
              <w:rPr>
                <w:b/>
                <w:bCs/>
              </w:rPr>
            </w:pPr>
            <w:r w:rsidRPr="00D56B3B">
              <w:rPr>
                <w:b/>
                <w:bCs/>
              </w:rPr>
              <w:t>CV (%)</w:t>
            </w:r>
          </w:p>
        </w:tc>
      </w:tr>
      <w:bookmarkEnd w:id="6"/>
      <w:tr w:rsidR="00AA4A76" w:rsidRPr="00AA4A76" w14:paraId="20C086E9" w14:textId="77777777" w:rsidTr="00D56B3B">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1654" w:type="dxa"/>
            <w:tcBorders>
              <w:top w:val="single" w:sz="4" w:space="0" w:color="000000"/>
            </w:tcBorders>
          </w:tcPr>
          <w:p w14:paraId="4358FF17" w14:textId="77777777" w:rsidR="00AA4A76" w:rsidRPr="00D56B3B" w:rsidRDefault="00AA4A76" w:rsidP="00457AC3">
            <w:pPr>
              <w:ind w:left="31" w:right="442" w:firstLine="177"/>
              <w:jc w:val="center"/>
              <w:rPr>
                <w:rFonts w:cs="Times New Roman"/>
                <w:b w:val="0"/>
                <w:bCs w:val="0"/>
                <w:szCs w:val="20"/>
              </w:rPr>
            </w:pPr>
            <w:r w:rsidRPr="00D56B3B">
              <w:rPr>
                <w:rFonts w:cs="Times New Roman"/>
                <w:b w:val="0"/>
                <w:bCs w:val="0"/>
                <w:szCs w:val="20"/>
              </w:rPr>
              <w:t>62.5</w:t>
            </w:r>
            <w:r w:rsidR="008A7B51" w:rsidRPr="00D56B3B">
              <w:rPr>
                <w:rFonts w:cs="Times New Roman"/>
                <w:b w:val="0"/>
                <w:bCs w:val="0"/>
                <w:szCs w:val="20"/>
              </w:rPr>
              <w:t>0</w:t>
            </w:r>
          </w:p>
        </w:tc>
        <w:tc>
          <w:tcPr>
            <w:tcW w:w="1600" w:type="dxa"/>
            <w:tcBorders>
              <w:top w:val="single" w:sz="4" w:space="0" w:color="000000"/>
            </w:tcBorders>
          </w:tcPr>
          <w:p w14:paraId="483EF08B" w14:textId="77777777" w:rsidR="00AA4A76" w:rsidRPr="00AA4A76" w:rsidRDefault="00AA4A76" w:rsidP="00457AC3">
            <w:pPr>
              <w:widowControl/>
              <w:wordWrap/>
              <w:autoSpaceDE/>
              <w:autoSpaceDN/>
              <w:ind w:right="245"/>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Cs w:val="20"/>
                <w:lang w:eastAsia="en-MY"/>
              </w:rPr>
            </w:pPr>
            <w:r w:rsidRPr="00AA4A76">
              <w:rPr>
                <w:rFonts w:cs="Times New Roman"/>
                <w:color w:val="000000"/>
                <w:szCs w:val="20"/>
              </w:rPr>
              <w:t>64.3</w:t>
            </w:r>
            <w:r w:rsidR="008A7B51">
              <w:rPr>
                <w:rFonts w:cs="Times New Roman"/>
                <w:color w:val="000000"/>
                <w:szCs w:val="20"/>
              </w:rPr>
              <w:t>1</w:t>
            </w:r>
          </w:p>
        </w:tc>
        <w:tc>
          <w:tcPr>
            <w:tcW w:w="0" w:type="auto"/>
            <w:tcBorders>
              <w:top w:val="single" w:sz="4" w:space="0" w:color="000000"/>
            </w:tcBorders>
          </w:tcPr>
          <w:p w14:paraId="319EE082" w14:textId="77777777" w:rsidR="00AA4A76" w:rsidRPr="00AA4A76" w:rsidRDefault="00AA4A76" w:rsidP="00457AC3">
            <w:pPr>
              <w:widowControl/>
              <w:wordWrap/>
              <w:autoSpaceDE/>
              <w:autoSpaceDN/>
              <w:ind w:hanging="106"/>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Cs w:val="20"/>
                <w:lang w:eastAsia="en-MY"/>
              </w:rPr>
            </w:pPr>
            <w:r w:rsidRPr="00AA4A76">
              <w:rPr>
                <w:rFonts w:cs="Times New Roman"/>
                <w:color w:val="000000"/>
                <w:szCs w:val="20"/>
              </w:rPr>
              <w:t>0.97</w:t>
            </w:r>
          </w:p>
        </w:tc>
        <w:tc>
          <w:tcPr>
            <w:tcW w:w="0" w:type="auto"/>
            <w:tcBorders>
              <w:top w:val="single" w:sz="4" w:space="0" w:color="000000"/>
            </w:tcBorders>
          </w:tcPr>
          <w:p w14:paraId="3717B72A" w14:textId="77777777" w:rsidR="00AA4A76" w:rsidRPr="00AA4A76" w:rsidRDefault="00AA4A76" w:rsidP="00457AC3">
            <w:pPr>
              <w:ind w:left="38" w:hanging="284"/>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0"/>
              </w:rPr>
            </w:pPr>
            <w:r w:rsidRPr="00AA4A76">
              <w:rPr>
                <w:rFonts w:cs="Times New Roman"/>
                <w:color w:val="000000"/>
                <w:szCs w:val="20"/>
              </w:rPr>
              <w:t>1.5</w:t>
            </w:r>
          </w:p>
        </w:tc>
        <w:tc>
          <w:tcPr>
            <w:tcW w:w="1396" w:type="dxa"/>
            <w:tcBorders>
              <w:top w:val="single" w:sz="4" w:space="0" w:color="000000"/>
            </w:tcBorders>
          </w:tcPr>
          <w:p w14:paraId="23DA9B3B" w14:textId="77777777" w:rsidR="00AA4A76" w:rsidRPr="00AA4A76" w:rsidRDefault="00AA4A76" w:rsidP="00457AC3">
            <w:pPr>
              <w:widowControl/>
              <w:wordWrap/>
              <w:autoSpaceDE/>
              <w:autoSpaceDN/>
              <w:ind w:hanging="252"/>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Cs w:val="20"/>
                <w:lang w:eastAsia="en-MY"/>
              </w:rPr>
            </w:pPr>
            <w:r w:rsidRPr="00AA4A76">
              <w:rPr>
                <w:rFonts w:cs="Times New Roman"/>
                <w:color w:val="000000"/>
                <w:szCs w:val="20"/>
              </w:rPr>
              <w:t>62.</w:t>
            </w:r>
            <w:r w:rsidR="008A7B51">
              <w:rPr>
                <w:rFonts w:cs="Times New Roman"/>
                <w:color w:val="000000"/>
                <w:szCs w:val="20"/>
              </w:rPr>
              <w:t>67</w:t>
            </w:r>
          </w:p>
        </w:tc>
        <w:tc>
          <w:tcPr>
            <w:tcW w:w="651" w:type="dxa"/>
            <w:tcBorders>
              <w:top w:val="single" w:sz="4" w:space="0" w:color="000000"/>
            </w:tcBorders>
          </w:tcPr>
          <w:p w14:paraId="1481D92A" w14:textId="77777777" w:rsidR="00AA4A76" w:rsidRPr="00AA4A76" w:rsidRDefault="00AA4A76" w:rsidP="00457AC3">
            <w:pPr>
              <w:ind w:hanging="251"/>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0"/>
              </w:rPr>
            </w:pPr>
            <w:r w:rsidRPr="00AA4A76">
              <w:rPr>
                <w:rFonts w:cs="Times New Roman"/>
                <w:color w:val="000000"/>
                <w:szCs w:val="20"/>
              </w:rPr>
              <w:t>1.20</w:t>
            </w:r>
          </w:p>
        </w:tc>
        <w:tc>
          <w:tcPr>
            <w:tcW w:w="0" w:type="auto"/>
            <w:tcBorders>
              <w:top w:val="single" w:sz="4" w:space="0" w:color="000000"/>
            </w:tcBorders>
          </w:tcPr>
          <w:p w14:paraId="5474D29C" w14:textId="77777777" w:rsidR="00AA4A76" w:rsidRPr="00AA4A76" w:rsidRDefault="00AA4A76" w:rsidP="00457AC3">
            <w:pPr>
              <w:ind w:hanging="257"/>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0"/>
              </w:rPr>
            </w:pPr>
            <w:r w:rsidRPr="00AA4A76">
              <w:rPr>
                <w:rFonts w:cs="Times New Roman"/>
                <w:color w:val="000000"/>
                <w:szCs w:val="20"/>
              </w:rPr>
              <w:t>1.9</w:t>
            </w:r>
          </w:p>
        </w:tc>
      </w:tr>
      <w:tr w:rsidR="00AA4A76" w:rsidRPr="00AA4A76" w14:paraId="71173C36" w14:textId="77777777" w:rsidTr="00D56B3B">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1654" w:type="dxa"/>
          </w:tcPr>
          <w:p w14:paraId="15046320" w14:textId="77777777" w:rsidR="00AA4A76" w:rsidRPr="00D56B3B" w:rsidRDefault="00AA4A76" w:rsidP="00457AC3">
            <w:pPr>
              <w:ind w:left="31" w:right="442" w:firstLine="177"/>
              <w:jc w:val="center"/>
              <w:rPr>
                <w:rFonts w:cs="Times New Roman"/>
                <w:b w:val="0"/>
                <w:bCs w:val="0"/>
                <w:szCs w:val="20"/>
              </w:rPr>
            </w:pPr>
            <w:r w:rsidRPr="00D56B3B">
              <w:rPr>
                <w:rFonts w:cs="Times New Roman"/>
                <w:b w:val="0"/>
                <w:bCs w:val="0"/>
                <w:szCs w:val="20"/>
              </w:rPr>
              <w:t>125.0</w:t>
            </w:r>
            <w:r w:rsidR="008A7B51" w:rsidRPr="00D56B3B">
              <w:rPr>
                <w:rFonts w:cs="Times New Roman"/>
                <w:b w:val="0"/>
                <w:bCs w:val="0"/>
                <w:szCs w:val="20"/>
              </w:rPr>
              <w:t>0</w:t>
            </w:r>
          </w:p>
        </w:tc>
        <w:tc>
          <w:tcPr>
            <w:tcW w:w="1600" w:type="dxa"/>
          </w:tcPr>
          <w:p w14:paraId="645B8B3B" w14:textId="77777777" w:rsidR="00AA4A76" w:rsidRPr="00AA4A76" w:rsidRDefault="00AA4A76" w:rsidP="00457AC3">
            <w:pPr>
              <w:ind w:right="245"/>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0"/>
              </w:rPr>
            </w:pPr>
            <w:r w:rsidRPr="00AA4A76">
              <w:rPr>
                <w:rFonts w:cs="Times New Roman"/>
                <w:color w:val="000000"/>
                <w:szCs w:val="20"/>
              </w:rPr>
              <w:t>124.6</w:t>
            </w:r>
            <w:r w:rsidR="008A7B51">
              <w:rPr>
                <w:rFonts w:cs="Times New Roman"/>
                <w:color w:val="000000"/>
                <w:szCs w:val="20"/>
              </w:rPr>
              <w:t>7</w:t>
            </w:r>
          </w:p>
        </w:tc>
        <w:tc>
          <w:tcPr>
            <w:tcW w:w="0" w:type="auto"/>
          </w:tcPr>
          <w:p w14:paraId="26F930A6" w14:textId="77777777" w:rsidR="00AA4A76" w:rsidRPr="00AA4A76" w:rsidRDefault="00AA4A76" w:rsidP="00457AC3">
            <w:pPr>
              <w:ind w:hanging="106"/>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0"/>
              </w:rPr>
            </w:pPr>
            <w:r w:rsidRPr="00AA4A76">
              <w:rPr>
                <w:rFonts w:cs="Times New Roman"/>
                <w:color w:val="000000"/>
                <w:szCs w:val="20"/>
              </w:rPr>
              <w:t>0.94</w:t>
            </w:r>
          </w:p>
        </w:tc>
        <w:tc>
          <w:tcPr>
            <w:tcW w:w="0" w:type="auto"/>
          </w:tcPr>
          <w:p w14:paraId="40CC1E75" w14:textId="77777777" w:rsidR="00AA4A76" w:rsidRPr="00AA4A76" w:rsidRDefault="00AA4A76" w:rsidP="00457AC3">
            <w:pPr>
              <w:ind w:left="38" w:hanging="284"/>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0"/>
              </w:rPr>
            </w:pPr>
            <w:r w:rsidRPr="00AA4A76">
              <w:rPr>
                <w:rFonts w:cs="Times New Roman"/>
                <w:color w:val="000000"/>
                <w:szCs w:val="20"/>
              </w:rPr>
              <w:t>0.</w:t>
            </w:r>
            <w:r w:rsidR="00C90047">
              <w:rPr>
                <w:rFonts w:cs="Times New Roman"/>
                <w:color w:val="000000"/>
                <w:szCs w:val="20"/>
              </w:rPr>
              <w:t>8</w:t>
            </w:r>
          </w:p>
        </w:tc>
        <w:tc>
          <w:tcPr>
            <w:tcW w:w="1396" w:type="dxa"/>
          </w:tcPr>
          <w:p w14:paraId="71B93349" w14:textId="77777777" w:rsidR="00AA4A76" w:rsidRPr="00AA4A76" w:rsidRDefault="00AA4A76" w:rsidP="00457AC3">
            <w:pPr>
              <w:ind w:hanging="252"/>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0"/>
              </w:rPr>
            </w:pPr>
            <w:r w:rsidRPr="00AA4A76">
              <w:rPr>
                <w:rFonts w:cs="Times New Roman"/>
                <w:color w:val="000000"/>
                <w:szCs w:val="20"/>
              </w:rPr>
              <w:t>124.</w:t>
            </w:r>
            <w:r w:rsidR="008A7B51">
              <w:rPr>
                <w:rFonts w:cs="Times New Roman"/>
                <w:color w:val="000000"/>
                <w:szCs w:val="20"/>
              </w:rPr>
              <w:t>07</w:t>
            </w:r>
          </w:p>
        </w:tc>
        <w:tc>
          <w:tcPr>
            <w:tcW w:w="651" w:type="dxa"/>
          </w:tcPr>
          <w:p w14:paraId="68F16DFB" w14:textId="77777777" w:rsidR="00AA4A76" w:rsidRPr="00AA4A76" w:rsidRDefault="00AA4A76" w:rsidP="00457AC3">
            <w:pPr>
              <w:ind w:hanging="251"/>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0"/>
              </w:rPr>
            </w:pPr>
            <w:r w:rsidRPr="00AA4A76">
              <w:rPr>
                <w:rFonts w:cs="Times New Roman"/>
                <w:color w:val="000000"/>
                <w:szCs w:val="20"/>
              </w:rPr>
              <w:t>1.84</w:t>
            </w:r>
          </w:p>
        </w:tc>
        <w:tc>
          <w:tcPr>
            <w:tcW w:w="0" w:type="auto"/>
          </w:tcPr>
          <w:p w14:paraId="111516C5" w14:textId="77777777" w:rsidR="00AA4A76" w:rsidRPr="00AA4A76" w:rsidRDefault="00AA4A76" w:rsidP="00457AC3">
            <w:pPr>
              <w:ind w:hanging="257"/>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0"/>
              </w:rPr>
            </w:pPr>
            <w:r w:rsidRPr="00AA4A76">
              <w:rPr>
                <w:rFonts w:cs="Times New Roman"/>
                <w:color w:val="000000"/>
                <w:szCs w:val="20"/>
              </w:rPr>
              <w:t>1.</w:t>
            </w:r>
            <w:r w:rsidR="00C90047">
              <w:rPr>
                <w:rFonts w:cs="Times New Roman"/>
                <w:color w:val="000000"/>
                <w:szCs w:val="20"/>
              </w:rPr>
              <w:t>5</w:t>
            </w:r>
          </w:p>
        </w:tc>
      </w:tr>
      <w:tr w:rsidR="00AA4A76" w:rsidRPr="00AA4A76" w14:paraId="199A14A5" w14:textId="77777777" w:rsidTr="00D56B3B">
        <w:trPr>
          <w:trHeight w:hRule="exact" w:val="285"/>
          <w:jc w:val="center"/>
        </w:trPr>
        <w:tc>
          <w:tcPr>
            <w:cnfStyle w:val="001000000000" w:firstRow="0" w:lastRow="0" w:firstColumn="1" w:lastColumn="0" w:oddVBand="0" w:evenVBand="0" w:oddHBand="0" w:evenHBand="0" w:firstRowFirstColumn="0" w:firstRowLastColumn="0" w:lastRowFirstColumn="0" w:lastRowLastColumn="0"/>
            <w:tcW w:w="1654" w:type="dxa"/>
          </w:tcPr>
          <w:p w14:paraId="236DC9BF" w14:textId="77777777" w:rsidR="00AA4A76" w:rsidRPr="00D56B3B" w:rsidRDefault="00AA4A76" w:rsidP="00457AC3">
            <w:pPr>
              <w:ind w:left="31" w:right="442" w:firstLine="177"/>
              <w:jc w:val="center"/>
              <w:rPr>
                <w:rFonts w:cs="Times New Roman"/>
                <w:b w:val="0"/>
                <w:bCs w:val="0"/>
                <w:szCs w:val="20"/>
              </w:rPr>
            </w:pPr>
            <w:r w:rsidRPr="00D56B3B">
              <w:rPr>
                <w:rFonts w:cs="Times New Roman"/>
                <w:b w:val="0"/>
                <w:bCs w:val="0"/>
                <w:szCs w:val="20"/>
              </w:rPr>
              <w:t>250.0</w:t>
            </w:r>
            <w:r w:rsidR="008A7B51" w:rsidRPr="00D56B3B">
              <w:rPr>
                <w:rFonts w:cs="Times New Roman"/>
                <w:b w:val="0"/>
                <w:bCs w:val="0"/>
                <w:szCs w:val="20"/>
              </w:rPr>
              <w:t>0</w:t>
            </w:r>
          </w:p>
        </w:tc>
        <w:tc>
          <w:tcPr>
            <w:tcW w:w="1600" w:type="dxa"/>
          </w:tcPr>
          <w:p w14:paraId="45E16E0B" w14:textId="77777777" w:rsidR="00AA4A76" w:rsidRPr="00AA4A76" w:rsidRDefault="00AA4A76" w:rsidP="00457AC3">
            <w:pPr>
              <w:ind w:right="245"/>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0"/>
              </w:rPr>
            </w:pPr>
            <w:r w:rsidRPr="00AA4A76">
              <w:rPr>
                <w:rFonts w:cs="Times New Roman"/>
                <w:color w:val="000000"/>
                <w:szCs w:val="20"/>
              </w:rPr>
              <w:t>252.</w:t>
            </w:r>
            <w:r w:rsidR="008A7B51">
              <w:rPr>
                <w:rFonts w:cs="Times New Roman"/>
                <w:color w:val="000000"/>
                <w:szCs w:val="20"/>
              </w:rPr>
              <w:t>38</w:t>
            </w:r>
          </w:p>
        </w:tc>
        <w:tc>
          <w:tcPr>
            <w:tcW w:w="0" w:type="auto"/>
          </w:tcPr>
          <w:p w14:paraId="744764AC" w14:textId="77777777" w:rsidR="00AA4A76" w:rsidRPr="00AA4A76" w:rsidRDefault="00AA4A76" w:rsidP="00457AC3">
            <w:pPr>
              <w:ind w:hanging="106"/>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0"/>
              </w:rPr>
            </w:pPr>
            <w:r w:rsidRPr="00AA4A76">
              <w:rPr>
                <w:rFonts w:cs="Times New Roman"/>
                <w:color w:val="000000"/>
                <w:szCs w:val="20"/>
              </w:rPr>
              <w:t>4.88</w:t>
            </w:r>
          </w:p>
        </w:tc>
        <w:tc>
          <w:tcPr>
            <w:tcW w:w="0" w:type="auto"/>
          </w:tcPr>
          <w:p w14:paraId="71EE2207" w14:textId="77777777" w:rsidR="00AA4A76" w:rsidRPr="00AA4A76" w:rsidRDefault="00AA4A76" w:rsidP="00457AC3">
            <w:pPr>
              <w:ind w:left="38" w:hanging="284"/>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0"/>
              </w:rPr>
            </w:pPr>
            <w:r w:rsidRPr="00AA4A76">
              <w:rPr>
                <w:rFonts w:cs="Times New Roman"/>
                <w:color w:val="000000"/>
                <w:szCs w:val="20"/>
              </w:rPr>
              <w:t>1.9</w:t>
            </w:r>
          </w:p>
        </w:tc>
        <w:tc>
          <w:tcPr>
            <w:tcW w:w="1396" w:type="dxa"/>
          </w:tcPr>
          <w:p w14:paraId="579C5702" w14:textId="77777777" w:rsidR="00AA4A76" w:rsidRPr="00AA4A76" w:rsidRDefault="00AA4A76" w:rsidP="00457AC3">
            <w:pPr>
              <w:ind w:hanging="252"/>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0"/>
              </w:rPr>
            </w:pPr>
            <w:r w:rsidRPr="00AA4A76">
              <w:rPr>
                <w:rFonts w:cs="Times New Roman"/>
                <w:color w:val="000000"/>
                <w:szCs w:val="20"/>
              </w:rPr>
              <w:t>252.</w:t>
            </w:r>
            <w:r w:rsidR="008A7B51">
              <w:rPr>
                <w:rFonts w:cs="Times New Roman"/>
                <w:color w:val="000000"/>
                <w:szCs w:val="20"/>
              </w:rPr>
              <w:t>81</w:t>
            </w:r>
          </w:p>
        </w:tc>
        <w:tc>
          <w:tcPr>
            <w:tcW w:w="651" w:type="dxa"/>
          </w:tcPr>
          <w:p w14:paraId="23C2DA4B" w14:textId="77777777" w:rsidR="00AA4A76" w:rsidRPr="00AA4A76" w:rsidRDefault="00AA4A76" w:rsidP="00457AC3">
            <w:pPr>
              <w:ind w:hanging="251"/>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0"/>
              </w:rPr>
            </w:pPr>
            <w:r w:rsidRPr="00AA4A76">
              <w:rPr>
                <w:rFonts w:cs="Times New Roman"/>
                <w:color w:val="000000"/>
                <w:szCs w:val="20"/>
              </w:rPr>
              <w:t>3.92</w:t>
            </w:r>
          </w:p>
        </w:tc>
        <w:tc>
          <w:tcPr>
            <w:tcW w:w="0" w:type="auto"/>
          </w:tcPr>
          <w:p w14:paraId="053D3EAD" w14:textId="77777777" w:rsidR="00AA4A76" w:rsidRPr="00AA4A76" w:rsidRDefault="00AA4A76" w:rsidP="00457AC3">
            <w:pPr>
              <w:ind w:hanging="257"/>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0"/>
              </w:rPr>
            </w:pPr>
            <w:r w:rsidRPr="00AA4A76">
              <w:rPr>
                <w:rFonts w:cs="Times New Roman"/>
                <w:color w:val="000000"/>
                <w:szCs w:val="20"/>
              </w:rPr>
              <w:t>1.</w:t>
            </w:r>
            <w:r w:rsidR="00C90047">
              <w:rPr>
                <w:rFonts w:cs="Times New Roman"/>
                <w:color w:val="000000"/>
                <w:szCs w:val="20"/>
              </w:rPr>
              <w:t>6</w:t>
            </w:r>
          </w:p>
        </w:tc>
      </w:tr>
      <w:tr w:rsidR="00AA4A76" w:rsidRPr="00AA4A76" w14:paraId="028A0E57" w14:textId="77777777" w:rsidTr="00D56B3B">
        <w:trPr>
          <w:trHeight w:val="147"/>
          <w:jc w:val="center"/>
        </w:trPr>
        <w:tc>
          <w:tcPr>
            <w:cnfStyle w:val="001000000000" w:firstRow="0" w:lastRow="0" w:firstColumn="1" w:lastColumn="0" w:oddVBand="0" w:evenVBand="0" w:oddHBand="0" w:evenHBand="0" w:firstRowFirstColumn="0" w:firstRowLastColumn="0" w:lastRowFirstColumn="0" w:lastRowLastColumn="0"/>
            <w:tcW w:w="1654" w:type="dxa"/>
          </w:tcPr>
          <w:p w14:paraId="4716AE58" w14:textId="77777777" w:rsidR="00AA4A76" w:rsidRPr="00D56B3B" w:rsidRDefault="00AA4A76" w:rsidP="00457AC3">
            <w:pPr>
              <w:ind w:left="31" w:right="442" w:firstLine="177"/>
              <w:jc w:val="center"/>
              <w:rPr>
                <w:rFonts w:cs="Times New Roman"/>
                <w:b w:val="0"/>
                <w:bCs w:val="0"/>
                <w:szCs w:val="20"/>
              </w:rPr>
            </w:pPr>
            <w:r w:rsidRPr="00D56B3B">
              <w:rPr>
                <w:rFonts w:cs="Times New Roman"/>
                <w:b w:val="0"/>
                <w:bCs w:val="0"/>
                <w:szCs w:val="20"/>
              </w:rPr>
              <w:t>500.0</w:t>
            </w:r>
            <w:r w:rsidR="008A7B51" w:rsidRPr="00D56B3B">
              <w:rPr>
                <w:rFonts w:cs="Times New Roman"/>
                <w:b w:val="0"/>
                <w:bCs w:val="0"/>
                <w:szCs w:val="20"/>
              </w:rPr>
              <w:t>0</w:t>
            </w:r>
          </w:p>
        </w:tc>
        <w:tc>
          <w:tcPr>
            <w:tcW w:w="1600" w:type="dxa"/>
          </w:tcPr>
          <w:p w14:paraId="4C2B4CD8" w14:textId="77777777" w:rsidR="00AA4A76" w:rsidRPr="00AA4A76" w:rsidRDefault="00AA4A76" w:rsidP="00457AC3">
            <w:pPr>
              <w:ind w:right="245"/>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0"/>
              </w:rPr>
            </w:pPr>
            <w:r w:rsidRPr="00AA4A76">
              <w:rPr>
                <w:rFonts w:cs="Times New Roman"/>
                <w:color w:val="000000"/>
                <w:szCs w:val="20"/>
              </w:rPr>
              <w:t>494.</w:t>
            </w:r>
            <w:r w:rsidR="008A7B51">
              <w:rPr>
                <w:rFonts w:cs="Times New Roman"/>
                <w:color w:val="000000"/>
                <w:szCs w:val="20"/>
              </w:rPr>
              <w:t>44</w:t>
            </w:r>
          </w:p>
        </w:tc>
        <w:tc>
          <w:tcPr>
            <w:tcW w:w="0" w:type="auto"/>
          </w:tcPr>
          <w:p w14:paraId="342FE35F" w14:textId="77777777" w:rsidR="00AA4A76" w:rsidRPr="00AA4A76" w:rsidRDefault="00AA4A76" w:rsidP="00457AC3">
            <w:pPr>
              <w:ind w:hanging="106"/>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0"/>
              </w:rPr>
            </w:pPr>
            <w:r w:rsidRPr="00AA4A76">
              <w:rPr>
                <w:rFonts w:cs="Times New Roman"/>
                <w:color w:val="000000"/>
                <w:szCs w:val="20"/>
              </w:rPr>
              <w:t>4.66</w:t>
            </w:r>
          </w:p>
        </w:tc>
        <w:tc>
          <w:tcPr>
            <w:tcW w:w="0" w:type="auto"/>
          </w:tcPr>
          <w:p w14:paraId="2C327261" w14:textId="77777777" w:rsidR="00AA4A76" w:rsidRPr="00AA4A76" w:rsidRDefault="00AA4A76" w:rsidP="00457AC3">
            <w:pPr>
              <w:ind w:left="38" w:hanging="284"/>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0"/>
              </w:rPr>
            </w:pPr>
            <w:r w:rsidRPr="00AA4A76">
              <w:rPr>
                <w:rFonts w:cs="Times New Roman"/>
                <w:color w:val="000000"/>
                <w:szCs w:val="20"/>
              </w:rPr>
              <w:t>0.9</w:t>
            </w:r>
          </w:p>
        </w:tc>
        <w:tc>
          <w:tcPr>
            <w:tcW w:w="1396" w:type="dxa"/>
          </w:tcPr>
          <w:p w14:paraId="265AB5ED" w14:textId="77777777" w:rsidR="00AA4A76" w:rsidRPr="00AA4A76" w:rsidRDefault="00AA4A76" w:rsidP="00457AC3">
            <w:pPr>
              <w:ind w:hanging="252"/>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0"/>
              </w:rPr>
            </w:pPr>
            <w:r w:rsidRPr="00AA4A76">
              <w:rPr>
                <w:rFonts w:cs="Times New Roman"/>
                <w:color w:val="000000"/>
                <w:szCs w:val="20"/>
              </w:rPr>
              <w:t>490.</w:t>
            </w:r>
            <w:r w:rsidR="008A7B51">
              <w:rPr>
                <w:rFonts w:cs="Times New Roman"/>
                <w:color w:val="000000"/>
                <w:szCs w:val="20"/>
              </w:rPr>
              <w:t>13</w:t>
            </w:r>
          </w:p>
        </w:tc>
        <w:tc>
          <w:tcPr>
            <w:tcW w:w="651" w:type="dxa"/>
          </w:tcPr>
          <w:p w14:paraId="010211E7" w14:textId="77777777" w:rsidR="00AA4A76" w:rsidRPr="00AA4A76" w:rsidRDefault="00AA4A76" w:rsidP="00457AC3">
            <w:pPr>
              <w:ind w:hanging="251"/>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0"/>
              </w:rPr>
            </w:pPr>
            <w:r w:rsidRPr="00AA4A76">
              <w:rPr>
                <w:rFonts w:cs="Times New Roman"/>
                <w:color w:val="000000"/>
                <w:szCs w:val="20"/>
              </w:rPr>
              <w:t>4.12</w:t>
            </w:r>
          </w:p>
        </w:tc>
        <w:tc>
          <w:tcPr>
            <w:tcW w:w="0" w:type="auto"/>
          </w:tcPr>
          <w:p w14:paraId="4775855D" w14:textId="77777777" w:rsidR="00AA4A76" w:rsidRPr="00AA4A76" w:rsidRDefault="00AA4A76" w:rsidP="00457AC3">
            <w:pPr>
              <w:ind w:hanging="257"/>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0"/>
              </w:rPr>
            </w:pPr>
            <w:r w:rsidRPr="00AA4A76">
              <w:rPr>
                <w:rFonts w:cs="Times New Roman"/>
                <w:color w:val="000000"/>
                <w:szCs w:val="20"/>
              </w:rPr>
              <w:t>0.8</w:t>
            </w:r>
          </w:p>
        </w:tc>
      </w:tr>
      <w:tr w:rsidR="00AA4A76" w:rsidRPr="00AA4A76" w14:paraId="7A413446" w14:textId="77777777" w:rsidTr="00D56B3B">
        <w:trPr>
          <w:trHeight w:val="297"/>
          <w:jc w:val="center"/>
        </w:trPr>
        <w:tc>
          <w:tcPr>
            <w:cnfStyle w:val="001000000000" w:firstRow="0" w:lastRow="0" w:firstColumn="1" w:lastColumn="0" w:oddVBand="0" w:evenVBand="0" w:oddHBand="0" w:evenHBand="0" w:firstRowFirstColumn="0" w:firstRowLastColumn="0" w:lastRowFirstColumn="0" w:lastRowLastColumn="0"/>
            <w:tcW w:w="1654" w:type="dxa"/>
            <w:tcBorders>
              <w:bottom w:val="single" w:sz="4" w:space="0" w:color="000000"/>
            </w:tcBorders>
          </w:tcPr>
          <w:p w14:paraId="0554DE79" w14:textId="77777777" w:rsidR="00AA4A76" w:rsidRPr="00D56B3B" w:rsidRDefault="00AA4A76" w:rsidP="00457AC3">
            <w:pPr>
              <w:ind w:left="31" w:right="442" w:firstLine="177"/>
              <w:jc w:val="center"/>
              <w:rPr>
                <w:rFonts w:cs="Times New Roman"/>
                <w:b w:val="0"/>
                <w:bCs w:val="0"/>
                <w:szCs w:val="20"/>
              </w:rPr>
            </w:pPr>
            <w:r w:rsidRPr="00D56B3B">
              <w:rPr>
                <w:rFonts w:cs="Times New Roman"/>
                <w:b w:val="0"/>
                <w:bCs w:val="0"/>
                <w:szCs w:val="20"/>
              </w:rPr>
              <w:t>1000.0</w:t>
            </w:r>
            <w:r w:rsidR="008A7B51" w:rsidRPr="00D56B3B">
              <w:rPr>
                <w:rFonts w:cs="Times New Roman"/>
                <w:b w:val="0"/>
                <w:bCs w:val="0"/>
                <w:szCs w:val="20"/>
              </w:rPr>
              <w:t>0</w:t>
            </w:r>
          </w:p>
        </w:tc>
        <w:tc>
          <w:tcPr>
            <w:tcW w:w="1600" w:type="dxa"/>
            <w:tcBorders>
              <w:bottom w:val="single" w:sz="4" w:space="0" w:color="000000"/>
            </w:tcBorders>
          </w:tcPr>
          <w:p w14:paraId="23E78AA6" w14:textId="77777777" w:rsidR="00AA4A76" w:rsidRPr="00AA4A76" w:rsidRDefault="00AA4A76" w:rsidP="00457AC3">
            <w:pPr>
              <w:ind w:right="245"/>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0"/>
              </w:rPr>
            </w:pPr>
            <w:r w:rsidRPr="00AA4A76">
              <w:rPr>
                <w:rFonts w:cs="Times New Roman"/>
                <w:color w:val="000000"/>
                <w:szCs w:val="20"/>
              </w:rPr>
              <w:t>1008.</w:t>
            </w:r>
            <w:r w:rsidR="008A7B51">
              <w:rPr>
                <w:rFonts w:cs="Times New Roman"/>
                <w:color w:val="000000"/>
                <w:szCs w:val="20"/>
              </w:rPr>
              <w:t>33</w:t>
            </w:r>
          </w:p>
        </w:tc>
        <w:tc>
          <w:tcPr>
            <w:tcW w:w="0" w:type="auto"/>
            <w:tcBorders>
              <w:bottom w:val="single" w:sz="4" w:space="0" w:color="000000"/>
            </w:tcBorders>
          </w:tcPr>
          <w:p w14:paraId="04BEBFBE" w14:textId="77777777" w:rsidR="00AA4A76" w:rsidRPr="00AA4A76" w:rsidRDefault="00AA4A76" w:rsidP="00457AC3">
            <w:pPr>
              <w:ind w:hanging="106"/>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0"/>
              </w:rPr>
            </w:pPr>
            <w:r w:rsidRPr="00AA4A76">
              <w:rPr>
                <w:rFonts w:cs="Times New Roman"/>
                <w:color w:val="000000"/>
                <w:szCs w:val="20"/>
              </w:rPr>
              <w:t>15.65</w:t>
            </w:r>
          </w:p>
        </w:tc>
        <w:tc>
          <w:tcPr>
            <w:tcW w:w="0" w:type="auto"/>
            <w:tcBorders>
              <w:bottom w:val="single" w:sz="4" w:space="0" w:color="000000"/>
            </w:tcBorders>
          </w:tcPr>
          <w:p w14:paraId="24CE7E28" w14:textId="77777777" w:rsidR="00AA4A76" w:rsidRPr="00AA4A76" w:rsidRDefault="00AA4A76" w:rsidP="00457AC3">
            <w:pPr>
              <w:ind w:left="38" w:hanging="284"/>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0"/>
              </w:rPr>
            </w:pPr>
            <w:r w:rsidRPr="00AA4A76">
              <w:rPr>
                <w:rFonts w:cs="Times New Roman"/>
                <w:color w:val="000000"/>
                <w:szCs w:val="20"/>
              </w:rPr>
              <w:t>1.</w:t>
            </w:r>
            <w:r w:rsidR="00C90047">
              <w:rPr>
                <w:rFonts w:cs="Times New Roman"/>
                <w:color w:val="000000"/>
                <w:szCs w:val="20"/>
              </w:rPr>
              <w:t>6</w:t>
            </w:r>
          </w:p>
        </w:tc>
        <w:tc>
          <w:tcPr>
            <w:tcW w:w="1396" w:type="dxa"/>
            <w:tcBorders>
              <w:bottom w:val="single" w:sz="4" w:space="0" w:color="000000"/>
            </w:tcBorders>
          </w:tcPr>
          <w:p w14:paraId="20CA811D" w14:textId="77777777" w:rsidR="00AA4A76" w:rsidRPr="00AA4A76" w:rsidRDefault="00AA4A76" w:rsidP="00457AC3">
            <w:pPr>
              <w:ind w:hanging="252"/>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0"/>
              </w:rPr>
            </w:pPr>
            <w:r w:rsidRPr="00AA4A76">
              <w:rPr>
                <w:rFonts w:cs="Times New Roman"/>
                <w:color w:val="000000"/>
                <w:szCs w:val="20"/>
              </w:rPr>
              <w:t>1014.</w:t>
            </w:r>
            <w:r w:rsidR="008A7B51">
              <w:rPr>
                <w:rFonts w:cs="Times New Roman"/>
                <w:color w:val="000000"/>
                <w:szCs w:val="20"/>
              </w:rPr>
              <w:t>35</w:t>
            </w:r>
          </w:p>
        </w:tc>
        <w:tc>
          <w:tcPr>
            <w:tcW w:w="651" w:type="dxa"/>
            <w:tcBorders>
              <w:bottom w:val="single" w:sz="4" w:space="0" w:color="000000"/>
            </w:tcBorders>
          </w:tcPr>
          <w:p w14:paraId="13C7F6B0" w14:textId="77777777" w:rsidR="00AA4A76" w:rsidRPr="00AA4A76" w:rsidRDefault="00AA4A76" w:rsidP="00457AC3">
            <w:pPr>
              <w:ind w:hanging="251"/>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0"/>
              </w:rPr>
            </w:pPr>
            <w:r w:rsidRPr="00AA4A76">
              <w:rPr>
                <w:rFonts w:cs="Times New Roman"/>
                <w:color w:val="000000"/>
                <w:szCs w:val="20"/>
              </w:rPr>
              <w:t>16.25</w:t>
            </w:r>
          </w:p>
        </w:tc>
        <w:tc>
          <w:tcPr>
            <w:tcW w:w="0" w:type="auto"/>
            <w:tcBorders>
              <w:bottom w:val="single" w:sz="4" w:space="0" w:color="000000"/>
            </w:tcBorders>
          </w:tcPr>
          <w:p w14:paraId="794F8228" w14:textId="77777777" w:rsidR="00AA4A76" w:rsidRPr="00AA4A76" w:rsidRDefault="00AA4A76" w:rsidP="00457AC3">
            <w:pPr>
              <w:ind w:hanging="257"/>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0"/>
              </w:rPr>
            </w:pPr>
            <w:r w:rsidRPr="00AA4A76">
              <w:rPr>
                <w:rFonts w:cs="Times New Roman"/>
                <w:color w:val="000000"/>
                <w:szCs w:val="20"/>
              </w:rPr>
              <w:t>1.6</w:t>
            </w:r>
          </w:p>
        </w:tc>
      </w:tr>
    </w:tbl>
    <w:p w14:paraId="3534158C" w14:textId="3C95A8BB" w:rsidR="00B50625" w:rsidRPr="00D56B3B" w:rsidRDefault="00D56B3B" w:rsidP="00D56B3B">
      <w:pPr>
        <w:ind w:firstLine="426"/>
        <w:rPr>
          <w:sz w:val="18"/>
          <w:szCs w:val="20"/>
        </w:rPr>
      </w:pPr>
      <w:r>
        <w:rPr>
          <w:sz w:val="16"/>
          <w:szCs w:val="18"/>
        </w:rPr>
        <w:t xml:space="preserve">       </w:t>
      </w:r>
      <w:r w:rsidR="004B315B" w:rsidRPr="00AC15CA">
        <w:rPr>
          <w:sz w:val="16"/>
          <w:szCs w:val="18"/>
        </w:rPr>
        <w:t xml:space="preserve">MC: mean concentration, SD: standard deviation, </w:t>
      </w:r>
      <w:r w:rsidR="00131D25" w:rsidRPr="00AC15CA">
        <w:rPr>
          <w:sz w:val="16"/>
          <w:szCs w:val="18"/>
        </w:rPr>
        <w:t>CV: coefficient of variation</w:t>
      </w:r>
    </w:p>
    <w:p w14:paraId="2A2B6225" w14:textId="77777777" w:rsidR="00FB0890" w:rsidRPr="00B50625" w:rsidRDefault="00FB0890" w:rsidP="00B50625"/>
    <w:p w14:paraId="5D60E774" w14:textId="77777777" w:rsidR="00397A55" w:rsidRDefault="00397A55" w:rsidP="001C00E4">
      <w:pPr>
        <w:pStyle w:val="Caption"/>
        <w:spacing w:after="120"/>
        <w:jc w:val="center"/>
        <w:rPr>
          <w:rFonts w:cs="Times New Roman"/>
        </w:rPr>
      </w:pPr>
      <w:r w:rsidRPr="00C33A35">
        <w:rPr>
          <w:rFonts w:cs="Times New Roman"/>
        </w:rPr>
        <w:t xml:space="preserve">Table </w:t>
      </w:r>
      <w:r w:rsidRPr="00C33A35">
        <w:rPr>
          <w:rFonts w:cs="Times New Roman"/>
        </w:rPr>
        <w:fldChar w:fldCharType="begin"/>
      </w:r>
      <w:r w:rsidRPr="00C33A35">
        <w:rPr>
          <w:rFonts w:cs="Times New Roman"/>
        </w:rPr>
        <w:instrText xml:space="preserve"> SEQ Table \* ARABIC </w:instrText>
      </w:r>
      <w:r w:rsidRPr="00C33A35">
        <w:rPr>
          <w:rFonts w:cs="Times New Roman"/>
        </w:rPr>
        <w:fldChar w:fldCharType="separate"/>
      </w:r>
      <w:r w:rsidR="00E51641">
        <w:rPr>
          <w:rFonts w:cs="Times New Roman"/>
          <w:noProof/>
        </w:rPr>
        <w:t>4</w:t>
      </w:r>
      <w:r w:rsidRPr="00C33A35">
        <w:rPr>
          <w:rFonts w:cs="Times New Roman"/>
        </w:rPr>
        <w:fldChar w:fldCharType="end"/>
      </w:r>
      <w:r w:rsidRPr="00C33A35">
        <w:rPr>
          <w:rFonts w:cs="Times New Roman"/>
        </w:rPr>
        <w:t xml:space="preserve">. Results of </w:t>
      </w:r>
      <w:r w:rsidR="00A23038">
        <w:rPr>
          <w:rFonts w:cs="Times New Roman"/>
        </w:rPr>
        <w:t>accuracy</w:t>
      </w:r>
      <w:r w:rsidR="001C00E4">
        <w:rPr>
          <w:rFonts w:cs="Times New Roman"/>
        </w:rPr>
        <w:t xml:space="preserve"> for determination of DTX</w:t>
      </w:r>
    </w:p>
    <w:tbl>
      <w:tblPr>
        <w:tblStyle w:val="TableGrid"/>
        <w:tblW w:w="659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1450"/>
        <w:gridCol w:w="1450"/>
        <w:gridCol w:w="1450"/>
        <w:gridCol w:w="1027"/>
      </w:tblGrid>
      <w:tr w:rsidR="00C622DB" w14:paraId="34129CFF" w14:textId="77777777" w:rsidTr="00D56B3B">
        <w:trPr>
          <w:trHeight w:val="642"/>
          <w:jc w:val="center"/>
        </w:trPr>
        <w:tc>
          <w:tcPr>
            <w:tcW w:w="1341" w:type="dxa"/>
            <w:tcBorders>
              <w:top w:val="single" w:sz="4" w:space="0" w:color="auto"/>
              <w:bottom w:val="single" w:sz="4" w:space="0" w:color="auto"/>
            </w:tcBorders>
            <w:vAlign w:val="center"/>
          </w:tcPr>
          <w:p w14:paraId="699C27F4" w14:textId="710B0413" w:rsidR="00C622DB" w:rsidRPr="00D56B3B" w:rsidRDefault="00C622DB" w:rsidP="00FB4C67">
            <w:pPr>
              <w:jc w:val="center"/>
              <w:rPr>
                <w:b/>
                <w:bCs/>
              </w:rPr>
            </w:pPr>
            <w:r w:rsidRPr="00D56B3B">
              <w:rPr>
                <w:b/>
                <w:bCs/>
              </w:rPr>
              <w:t xml:space="preserve">Initial </w:t>
            </w:r>
            <w:r w:rsidR="00D56B3B">
              <w:rPr>
                <w:b/>
                <w:bCs/>
              </w:rPr>
              <w:t>C</w:t>
            </w:r>
            <w:r w:rsidRPr="00D56B3B">
              <w:rPr>
                <w:b/>
                <w:bCs/>
              </w:rPr>
              <w:t>oncentration</w:t>
            </w:r>
          </w:p>
          <w:p w14:paraId="26B59B2D" w14:textId="77777777" w:rsidR="00C622DB" w:rsidRPr="00D56B3B" w:rsidRDefault="00C622DB" w:rsidP="00FB4C67">
            <w:pPr>
              <w:jc w:val="center"/>
              <w:rPr>
                <w:b/>
                <w:bCs/>
              </w:rPr>
            </w:pPr>
            <w:r w:rsidRPr="00D56B3B">
              <w:rPr>
                <w:b/>
                <w:bCs/>
              </w:rPr>
              <w:t>(</w:t>
            </w:r>
            <w:proofErr w:type="spellStart"/>
            <w:r w:rsidRPr="00D56B3B">
              <w:rPr>
                <w:rFonts w:cs="Times New Roman"/>
                <w:b/>
                <w:bCs/>
              </w:rPr>
              <w:t>μ</w:t>
            </w:r>
            <w:r w:rsidRPr="00D56B3B">
              <w:rPr>
                <w:b/>
                <w:bCs/>
              </w:rPr>
              <w:t>g</w:t>
            </w:r>
            <w:proofErr w:type="spellEnd"/>
            <w:r w:rsidRPr="00D56B3B">
              <w:rPr>
                <w:b/>
                <w:bCs/>
              </w:rPr>
              <w:t>/mL)</w:t>
            </w:r>
          </w:p>
        </w:tc>
        <w:tc>
          <w:tcPr>
            <w:tcW w:w="1454" w:type="dxa"/>
            <w:tcBorders>
              <w:top w:val="single" w:sz="4" w:space="0" w:color="auto"/>
              <w:bottom w:val="single" w:sz="4" w:space="0" w:color="auto"/>
            </w:tcBorders>
            <w:vAlign w:val="center"/>
          </w:tcPr>
          <w:p w14:paraId="200ED787" w14:textId="25336991" w:rsidR="00C622DB" w:rsidRPr="00D56B3B" w:rsidRDefault="00C622DB" w:rsidP="00FB4C67">
            <w:pPr>
              <w:jc w:val="center"/>
              <w:rPr>
                <w:b/>
                <w:bCs/>
              </w:rPr>
            </w:pPr>
            <w:r w:rsidRPr="00D56B3B">
              <w:rPr>
                <w:b/>
                <w:bCs/>
              </w:rPr>
              <w:t xml:space="preserve">Added </w:t>
            </w:r>
            <w:r w:rsidR="00D56B3B">
              <w:rPr>
                <w:b/>
                <w:bCs/>
              </w:rPr>
              <w:t>C</w:t>
            </w:r>
            <w:r w:rsidRPr="00D56B3B">
              <w:rPr>
                <w:b/>
                <w:bCs/>
              </w:rPr>
              <w:t>oncentration (</w:t>
            </w:r>
            <w:proofErr w:type="spellStart"/>
            <w:r w:rsidRPr="00D56B3B">
              <w:rPr>
                <w:rFonts w:cs="Times New Roman"/>
                <w:b/>
                <w:bCs/>
              </w:rPr>
              <w:t>μ</w:t>
            </w:r>
            <w:r w:rsidRPr="00D56B3B">
              <w:rPr>
                <w:b/>
                <w:bCs/>
              </w:rPr>
              <w:t>g</w:t>
            </w:r>
            <w:proofErr w:type="spellEnd"/>
            <w:r w:rsidRPr="00D56B3B">
              <w:rPr>
                <w:b/>
                <w:bCs/>
              </w:rPr>
              <w:t>/mL)</w:t>
            </w:r>
          </w:p>
        </w:tc>
        <w:tc>
          <w:tcPr>
            <w:tcW w:w="1341" w:type="dxa"/>
            <w:tcBorders>
              <w:top w:val="single" w:sz="4" w:space="0" w:color="auto"/>
              <w:bottom w:val="single" w:sz="4" w:space="0" w:color="auto"/>
            </w:tcBorders>
            <w:vAlign w:val="center"/>
          </w:tcPr>
          <w:p w14:paraId="746F2923" w14:textId="1635150A" w:rsidR="00C622DB" w:rsidRPr="00D56B3B" w:rsidRDefault="00F83DE7" w:rsidP="00FB4C67">
            <w:pPr>
              <w:jc w:val="center"/>
              <w:rPr>
                <w:b/>
                <w:bCs/>
              </w:rPr>
            </w:pPr>
            <w:r w:rsidRPr="00D56B3B">
              <w:rPr>
                <w:b/>
                <w:bCs/>
              </w:rPr>
              <w:t>Nominal</w:t>
            </w:r>
            <w:r w:rsidR="00C622DB" w:rsidRPr="00D56B3B">
              <w:rPr>
                <w:b/>
                <w:bCs/>
              </w:rPr>
              <w:t xml:space="preserve"> </w:t>
            </w:r>
            <w:r w:rsidR="00D56B3B">
              <w:rPr>
                <w:b/>
                <w:bCs/>
              </w:rPr>
              <w:t>C</w:t>
            </w:r>
            <w:r w:rsidR="00C622DB" w:rsidRPr="00D56B3B">
              <w:rPr>
                <w:b/>
                <w:bCs/>
              </w:rPr>
              <w:t>oncentration (</w:t>
            </w:r>
            <w:proofErr w:type="spellStart"/>
            <w:r w:rsidR="00C622DB" w:rsidRPr="00D56B3B">
              <w:rPr>
                <w:rFonts w:cs="Times New Roman"/>
                <w:b/>
                <w:bCs/>
              </w:rPr>
              <w:t>μ</w:t>
            </w:r>
            <w:r w:rsidR="00C622DB" w:rsidRPr="00D56B3B">
              <w:rPr>
                <w:b/>
                <w:bCs/>
              </w:rPr>
              <w:t>g</w:t>
            </w:r>
            <w:proofErr w:type="spellEnd"/>
            <w:r w:rsidR="00C622DB" w:rsidRPr="00D56B3B">
              <w:rPr>
                <w:b/>
                <w:bCs/>
              </w:rPr>
              <w:t>/mL)</w:t>
            </w:r>
          </w:p>
        </w:tc>
        <w:tc>
          <w:tcPr>
            <w:tcW w:w="1565" w:type="dxa"/>
            <w:tcBorders>
              <w:top w:val="single" w:sz="4" w:space="0" w:color="auto"/>
              <w:bottom w:val="single" w:sz="4" w:space="0" w:color="auto"/>
            </w:tcBorders>
            <w:vAlign w:val="center"/>
          </w:tcPr>
          <w:p w14:paraId="678A0E69" w14:textId="555BEEF5" w:rsidR="00C622DB" w:rsidRPr="00D56B3B" w:rsidRDefault="001C00E4" w:rsidP="00FB4C67">
            <w:pPr>
              <w:jc w:val="center"/>
              <w:rPr>
                <w:b/>
                <w:bCs/>
              </w:rPr>
            </w:pPr>
            <w:r w:rsidRPr="00D56B3B">
              <w:rPr>
                <w:b/>
                <w:bCs/>
              </w:rPr>
              <w:t>Recovery</w:t>
            </w:r>
            <w:r w:rsidR="00C622DB" w:rsidRPr="00D56B3B">
              <w:rPr>
                <w:b/>
                <w:bCs/>
              </w:rPr>
              <w:t xml:space="preserve"> </w:t>
            </w:r>
            <w:r w:rsidR="00D56B3B">
              <w:rPr>
                <w:b/>
                <w:bCs/>
              </w:rPr>
              <w:t>C</w:t>
            </w:r>
            <w:r w:rsidR="00C622DB" w:rsidRPr="00D56B3B">
              <w:rPr>
                <w:b/>
                <w:bCs/>
              </w:rPr>
              <w:t>oncentration (</w:t>
            </w:r>
            <w:proofErr w:type="spellStart"/>
            <w:r w:rsidR="00C622DB" w:rsidRPr="00D56B3B">
              <w:rPr>
                <w:rFonts w:cs="Times New Roman"/>
                <w:b/>
                <w:bCs/>
              </w:rPr>
              <w:t>μ</w:t>
            </w:r>
            <w:r w:rsidR="00C622DB" w:rsidRPr="00D56B3B">
              <w:rPr>
                <w:b/>
                <w:bCs/>
              </w:rPr>
              <w:t>g</w:t>
            </w:r>
            <w:proofErr w:type="spellEnd"/>
            <w:r w:rsidR="00C622DB" w:rsidRPr="00D56B3B">
              <w:rPr>
                <w:b/>
                <w:bCs/>
              </w:rPr>
              <w:t>/mL)</w:t>
            </w:r>
          </w:p>
        </w:tc>
        <w:tc>
          <w:tcPr>
            <w:tcW w:w="894" w:type="dxa"/>
            <w:tcBorders>
              <w:top w:val="single" w:sz="4" w:space="0" w:color="auto"/>
              <w:bottom w:val="single" w:sz="4" w:space="0" w:color="auto"/>
            </w:tcBorders>
            <w:vAlign w:val="center"/>
          </w:tcPr>
          <w:p w14:paraId="3657C529" w14:textId="77777777" w:rsidR="00C622DB" w:rsidRPr="00D56B3B" w:rsidRDefault="00C622DB" w:rsidP="00FB4C67">
            <w:pPr>
              <w:jc w:val="center"/>
              <w:rPr>
                <w:b/>
                <w:bCs/>
              </w:rPr>
            </w:pPr>
            <w:r w:rsidRPr="00D56B3B">
              <w:rPr>
                <w:b/>
                <w:bCs/>
              </w:rPr>
              <w:t>Accuracy</w:t>
            </w:r>
          </w:p>
          <w:p w14:paraId="603388C3" w14:textId="77777777" w:rsidR="00C622DB" w:rsidRPr="00D56B3B" w:rsidRDefault="00C622DB" w:rsidP="00FB4C67">
            <w:pPr>
              <w:jc w:val="center"/>
              <w:rPr>
                <w:b/>
                <w:bCs/>
              </w:rPr>
            </w:pPr>
            <w:r w:rsidRPr="00D56B3B">
              <w:rPr>
                <w:b/>
                <w:bCs/>
              </w:rPr>
              <w:t>(%)</w:t>
            </w:r>
          </w:p>
        </w:tc>
      </w:tr>
      <w:tr w:rsidR="002A2127" w14:paraId="5CD709EC" w14:textId="77777777" w:rsidTr="00D56B3B">
        <w:trPr>
          <w:trHeight w:hRule="exact" w:val="89"/>
          <w:jc w:val="center"/>
        </w:trPr>
        <w:tc>
          <w:tcPr>
            <w:tcW w:w="1341" w:type="dxa"/>
          </w:tcPr>
          <w:p w14:paraId="491DBBA7" w14:textId="77777777" w:rsidR="002A2127" w:rsidRDefault="002A2127" w:rsidP="000B1EA6">
            <w:pPr>
              <w:jc w:val="center"/>
            </w:pPr>
          </w:p>
        </w:tc>
        <w:tc>
          <w:tcPr>
            <w:tcW w:w="1454" w:type="dxa"/>
          </w:tcPr>
          <w:p w14:paraId="14B4C76B" w14:textId="77777777" w:rsidR="002A2127" w:rsidRDefault="002A2127" w:rsidP="000B1EA6">
            <w:pPr>
              <w:jc w:val="center"/>
            </w:pPr>
          </w:p>
        </w:tc>
        <w:tc>
          <w:tcPr>
            <w:tcW w:w="1341" w:type="dxa"/>
          </w:tcPr>
          <w:p w14:paraId="76530DDD" w14:textId="77777777" w:rsidR="002A2127" w:rsidRDefault="002A2127" w:rsidP="000B1EA6">
            <w:pPr>
              <w:jc w:val="center"/>
            </w:pPr>
          </w:p>
        </w:tc>
        <w:tc>
          <w:tcPr>
            <w:tcW w:w="1565" w:type="dxa"/>
            <w:tcBorders>
              <w:top w:val="nil"/>
              <w:left w:val="nil"/>
              <w:bottom w:val="nil"/>
              <w:right w:val="nil"/>
            </w:tcBorders>
            <w:shd w:val="clear" w:color="auto" w:fill="auto"/>
            <w:vAlign w:val="bottom"/>
          </w:tcPr>
          <w:p w14:paraId="6B47C7C0" w14:textId="77777777" w:rsidR="002A2127" w:rsidRPr="000B1EA6" w:rsidRDefault="002A2127" w:rsidP="000B1EA6">
            <w:pPr>
              <w:widowControl/>
              <w:wordWrap/>
              <w:autoSpaceDE/>
              <w:autoSpaceDN/>
              <w:jc w:val="center"/>
              <w:rPr>
                <w:rFonts w:cs="Times New Roman"/>
                <w:color w:val="000000"/>
                <w:szCs w:val="20"/>
              </w:rPr>
            </w:pPr>
          </w:p>
        </w:tc>
        <w:tc>
          <w:tcPr>
            <w:tcW w:w="894" w:type="dxa"/>
            <w:tcBorders>
              <w:top w:val="nil"/>
              <w:left w:val="nil"/>
              <w:bottom w:val="nil"/>
              <w:right w:val="nil"/>
            </w:tcBorders>
            <w:shd w:val="clear" w:color="auto" w:fill="auto"/>
            <w:vAlign w:val="bottom"/>
          </w:tcPr>
          <w:p w14:paraId="3BC70351" w14:textId="77777777" w:rsidR="002A2127" w:rsidRPr="000B1EA6" w:rsidRDefault="002A2127" w:rsidP="000B1EA6">
            <w:pPr>
              <w:widowControl/>
              <w:wordWrap/>
              <w:autoSpaceDE/>
              <w:autoSpaceDN/>
              <w:jc w:val="center"/>
              <w:rPr>
                <w:rFonts w:cs="Times New Roman"/>
                <w:color w:val="000000"/>
                <w:szCs w:val="20"/>
              </w:rPr>
            </w:pPr>
          </w:p>
        </w:tc>
      </w:tr>
      <w:tr w:rsidR="000B1EA6" w14:paraId="5B6FAD92" w14:textId="77777777" w:rsidTr="00D56B3B">
        <w:trPr>
          <w:trHeight w:hRule="exact" w:val="264"/>
          <w:jc w:val="center"/>
        </w:trPr>
        <w:tc>
          <w:tcPr>
            <w:tcW w:w="1341" w:type="dxa"/>
          </w:tcPr>
          <w:p w14:paraId="40A49839" w14:textId="77777777" w:rsidR="000B1EA6" w:rsidRDefault="000B1EA6" w:rsidP="000B1EA6">
            <w:pPr>
              <w:jc w:val="center"/>
            </w:pPr>
            <w:r>
              <w:t>62.5</w:t>
            </w:r>
            <w:r w:rsidR="008A7B51">
              <w:t>0</w:t>
            </w:r>
          </w:p>
        </w:tc>
        <w:tc>
          <w:tcPr>
            <w:tcW w:w="1454" w:type="dxa"/>
          </w:tcPr>
          <w:p w14:paraId="0570955B" w14:textId="77777777" w:rsidR="000B1EA6" w:rsidRDefault="000B1EA6" w:rsidP="000B1EA6">
            <w:pPr>
              <w:jc w:val="center"/>
            </w:pPr>
            <w:r>
              <w:t>62.5</w:t>
            </w:r>
            <w:r w:rsidR="008A7B51">
              <w:t>0</w:t>
            </w:r>
          </w:p>
        </w:tc>
        <w:tc>
          <w:tcPr>
            <w:tcW w:w="1341" w:type="dxa"/>
          </w:tcPr>
          <w:p w14:paraId="4B1E84F2" w14:textId="77777777" w:rsidR="000B1EA6" w:rsidRDefault="000B1EA6" w:rsidP="000B1EA6">
            <w:pPr>
              <w:jc w:val="center"/>
            </w:pPr>
            <w:r>
              <w:t>62.5</w:t>
            </w:r>
            <w:r w:rsidR="008A7B51">
              <w:t>0</w:t>
            </w:r>
          </w:p>
        </w:tc>
        <w:tc>
          <w:tcPr>
            <w:tcW w:w="1565" w:type="dxa"/>
            <w:tcBorders>
              <w:top w:val="nil"/>
              <w:left w:val="nil"/>
              <w:bottom w:val="nil"/>
              <w:right w:val="nil"/>
            </w:tcBorders>
            <w:shd w:val="clear" w:color="auto" w:fill="auto"/>
          </w:tcPr>
          <w:p w14:paraId="6CDF1D4A" w14:textId="77777777" w:rsidR="000B1EA6" w:rsidRPr="000B1EA6" w:rsidRDefault="000B1EA6" w:rsidP="002A2127">
            <w:pPr>
              <w:widowControl/>
              <w:wordWrap/>
              <w:autoSpaceDE/>
              <w:autoSpaceDN/>
              <w:jc w:val="center"/>
              <w:rPr>
                <w:rFonts w:eastAsia="Times New Roman" w:cs="Times New Roman"/>
                <w:color w:val="000000"/>
                <w:kern w:val="0"/>
                <w:szCs w:val="20"/>
                <w:lang w:eastAsia="en-MY"/>
              </w:rPr>
            </w:pPr>
            <w:r w:rsidRPr="000B1EA6">
              <w:rPr>
                <w:rFonts w:cs="Times New Roman"/>
                <w:color w:val="000000"/>
                <w:szCs w:val="20"/>
              </w:rPr>
              <w:t>59.</w:t>
            </w:r>
            <w:r w:rsidR="00D438E7">
              <w:rPr>
                <w:rFonts w:cs="Times New Roman"/>
                <w:color w:val="000000"/>
                <w:szCs w:val="20"/>
              </w:rPr>
              <w:t>77</w:t>
            </w:r>
          </w:p>
        </w:tc>
        <w:tc>
          <w:tcPr>
            <w:tcW w:w="894" w:type="dxa"/>
            <w:tcBorders>
              <w:top w:val="nil"/>
              <w:left w:val="nil"/>
              <w:bottom w:val="nil"/>
              <w:right w:val="nil"/>
            </w:tcBorders>
            <w:shd w:val="clear" w:color="auto" w:fill="auto"/>
          </w:tcPr>
          <w:p w14:paraId="467396DE" w14:textId="77777777" w:rsidR="000B1EA6" w:rsidRPr="000B1EA6" w:rsidRDefault="000B1EA6" w:rsidP="002A2127">
            <w:pPr>
              <w:widowControl/>
              <w:wordWrap/>
              <w:autoSpaceDE/>
              <w:autoSpaceDN/>
              <w:jc w:val="center"/>
              <w:rPr>
                <w:rFonts w:eastAsia="Times New Roman" w:cs="Times New Roman"/>
                <w:color w:val="000000"/>
                <w:kern w:val="0"/>
                <w:szCs w:val="20"/>
                <w:lang w:eastAsia="en-MY"/>
              </w:rPr>
            </w:pPr>
            <w:r w:rsidRPr="000B1EA6">
              <w:rPr>
                <w:rFonts w:cs="Times New Roman"/>
                <w:color w:val="000000"/>
                <w:szCs w:val="20"/>
              </w:rPr>
              <w:t>95.6</w:t>
            </w:r>
          </w:p>
        </w:tc>
      </w:tr>
      <w:tr w:rsidR="000B1EA6" w14:paraId="504B03AB" w14:textId="77777777" w:rsidTr="00D56B3B">
        <w:trPr>
          <w:trHeight w:hRule="exact" w:val="264"/>
          <w:jc w:val="center"/>
        </w:trPr>
        <w:tc>
          <w:tcPr>
            <w:tcW w:w="1341" w:type="dxa"/>
          </w:tcPr>
          <w:p w14:paraId="66629B98" w14:textId="77777777" w:rsidR="000B1EA6" w:rsidRDefault="000B1EA6" w:rsidP="000B1EA6">
            <w:pPr>
              <w:jc w:val="center"/>
            </w:pPr>
            <w:r>
              <w:t>125.0</w:t>
            </w:r>
            <w:r w:rsidR="008A7B51">
              <w:t>0</w:t>
            </w:r>
          </w:p>
        </w:tc>
        <w:tc>
          <w:tcPr>
            <w:tcW w:w="1454" w:type="dxa"/>
          </w:tcPr>
          <w:p w14:paraId="6FF80316" w14:textId="77777777" w:rsidR="000B1EA6" w:rsidRDefault="000B1EA6" w:rsidP="000B1EA6">
            <w:pPr>
              <w:jc w:val="center"/>
            </w:pPr>
            <w:r>
              <w:t>62.5</w:t>
            </w:r>
            <w:r w:rsidR="008A7B51">
              <w:t>0</w:t>
            </w:r>
          </w:p>
        </w:tc>
        <w:tc>
          <w:tcPr>
            <w:tcW w:w="1341" w:type="dxa"/>
          </w:tcPr>
          <w:p w14:paraId="189B6046" w14:textId="77777777" w:rsidR="000B1EA6" w:rsidRDefault="000B1EA6" w:rsidP="000B1EA6">
            <w:pPr>
              <w:jc w:val="center"/>
            </w:pPr>
            <w:r>
              <w:t>93.</w:t>
            </w:r>
            <w:r w:rsidR="008A7B51">
              <w:t>75</w:t>
            </w:r>
          </w:p>
        </w:tc>
        <w:tc>
          <w:tcPr>
            <w:tcW w:w="1565" w:type="dxa"/>
            <w:tcBorders>
              <w:top w:val="nil"/>
              <w:left w:val="nil"/>
              <w:bottom w:val="nil"/>
              <w:right w:val="nil"/>
            </w:tcBorders>
            <w:shd w:val="clear" w:color="auto" w:fill="auto"/>
          </w:tcPr>
          <w:p w14:paraId="1BC92BE2" w14:textId="77777777" w:rsidR="000B1EA6" w:rsidRPr="000B1EA6" w:rsidRDefault="000B1EA6" w:rsidP="002A2127">
            <w:pPr>
              <w:jc w:val="center"/>
              <w:rPr>
                <w:rFonts w:cs="Times New Roman"/>
                <w:color w:val="000000"/>
                <w:szCs w:val="20"/>
              </w:rPr>
            </w:pPr>
            <w:r w:rsidRPr="000B1EA6">
              <w:rPr>
                <w:rFonts w:cs="Times New Roman"/>
                <w:color w:val="000000"/>
                <w:szCs w:val="20"/>
              </w:rPr>
              <w:t>87.</w:t>
            </w:r>
            <w:r w:rsidR="00D438E7">
              <w:rPr>
                <w:rFonts w:cs="Times New Roman"/>
                <w:color w:val="000000"/>
                <w:szCs w:val="20"/>
              </w:rPr>
              <w:t>45</w:t>
            </w:r>
          </w:p>
        </w:tc>
        <w:tc>
          <w:tcPr>
            <w:tcW w:w="894" w:type="dxa"/>
            <w:tcBorders>
              <w:top w:val="nil"/>
              <w:left w:val="nil"/>
              <w:bottom w:val="nil"/>
              <w:right w:val="nil"/>
            </w:tcBorders>
            <w:shd w:val="clear" w:color="auto" w:fill="auto"/>
          </w:tcPr>
          <w:p w14:paraId="0FA53766" w14:textId="77777777" w:rsidR="000B1EA6" w:rsidRPr="000B1EA6" w:rsidRDefault="000B1EA6" w:rsidP="002A2127">
            <w:pPr>
              <w:jc w:val="center"/>
              <w:rPr>
                <w:rFonts w:cs="Times New Roman"/>
                <w:color w:val="000000"/>
                <w:szCs w:val="20"/>
              </w:rPr>
            </w:pPr>
            <w:r w:rsidRPr="000B1EA6">
              <w:rPr>
                <w:rFonts w:cs="Times New Roman"/>
                <w:color w:val="000000"/>
                <w:szCs w:val="20"/>
              </w:rPr>
              <w:t>93.</w:t>
            </w:r>
            <w:r w:rsidR="00C90047">
              <w:rPr>
                <w:rFonts w:cs="Times New Roman"/>
                <w:color w:val="000000"/>
                <w:szCs w:val="20"/>
              </w:rPr>
              <w:t>3</w:t>
            </w:r>
          </w:p>
        </w:tc>
      </w:tr>
      <w:tr w:rsidR="000B1EA6" w14:paraId="49102D7F" w14:textId="77777777" w:rsidTr="00D56B3B">
        <w:trPr>
          <w:trHeight w:hRule="exact" w:val="264"/>
          <w:jc w:val="center"/>
        </w:trPr>
        <w:tc>
          <w:tcPr>
            <w:tcW w:w="1341" w:type="dxa"/>
          </w:tcPr>
          <w:p w14:paraId="68D89920" w14:textId="77777777" w:rsidR="000B1EA6" w:rsidRDefault="000B1EA6" w:rsidP="000B1EA6">
            <w:pPr>
              <w:jc w:val="center"/>
            </w:pPr>
            <w:r>
              <w:t>250.0</w:t>
            </w:r>
            <w:r w:rsidR="008A7B51">
              <w:t>0</w:t>
            </w:r>
          </w:p>
        </w:tc>
        <w:tc>
          <w:tcPr>
            <w:tcW w:w="1454" w:type="dxa"/>
          </w:tcPr>
          <w:p w14:paraId="587750F1" w14:textId="77777777" w:rsidR="000B1EA6" w:rsidRDefault="000B1EA6" w:rsidP="000B1EA6">
            <w:pPr>
              <w:jc w:val="center"/>
            </w:pPr>
            <w:r>
              <w:t>62.5</w:t>
            </w:r>
            <w:r w:rsidR="008A7B51">
              <w:t>0</w:t>
            </w:r>
          </w:p>
        </w:tc>
        <w:tc>
          <w:tcPr>
            <w:tcW w:w="1341" w:type="dxa"/>
          </w:tcPr>
          <w:p w14:paraId="7469121A" w14:textId="77777777" w:rsidR="000B1EA6" w:rsidRDefault="000B1EA6" w:rsidP="000B1EA6">
            <w:pPr>
              <w:jc w:val="center"/>
            </w:pPr>
            <w:r>
              <w:t>156.</w:t>
            </w:r>
            <w:r w:rsidR="008A7B51">
              <w:t>25</w:t>
            </w:r>
          </w:p>
        </w:tc>
        <w:tc>
          <w:tcPr>
            <w:tcW w:w="1565" w:type="dxa"/>
            <w:tcBorders>
              <w:top w:val="nil"/>
              <w:left w:val="nil"/>
              <w:bottom w:val="nil"/>
              <w:right w:val="nil"/>
            </w:tcBorders>
            <w:shd w:val="clear" w:color="auto" w:fill="auto"/>
          </w:tcPr>
          <w:p w14:paraId="7DE86681" w14:textId="77777777" w:rsidR="000B1EA6" w:rsidRPr="000B1EA6" w:rsidRDefault="000B1EA6" w:rsidP="002A2127">
            <w:pPr>
              <w:jc w:val="center"/>
              <w:rPr>
                <w:rFonts w:cs="Times New Roman"/>
                <w:color w:val="000000"/>
                <w:szCs w:val="20"/>
              </w:rPr>
            </w:pPr>
            <w:r w:rsidRPr="000B1EA6">
              <w:rPr>
                <w:rFonts w:cs="Times New Roman"/>
                <w:color w:val="000000"/>
                <w:szCs w:val="20"/>
              </w:rPr>
              <w:t>156.</w:t>
            </w:r>
            <w:r w:rsidR="00D438E7">
              <w:rPr>
                <w:rFonts w:cs="Times New Roman"/>
                <w:color w:val="000000"/>
                <w:szCs w:val="20"/>
              </w:rPr>
              <w:t>44</w:t>
            </w:r>
          </w:p>
        </w:tc>
        <w:tc>
          <w:tcPr>
            <w:tcW w:w="894" w:type="dxa"/>
            <w:tcBorders>
              <w:top w:val="nil"/>
              <w:left w:val="nil"/>
              <w:bottom w:val="nil"/>
              <w:right w:val="nil"/>
            </w:tcBorders>
            <w:shd w:val="clear" w:color="auto" w:fill="auto"/>
          </w:tcPr>
          <w:p w14:paraId="57B154D4" w14:textId="77777777" w:rsidR="000B1EA6" w:rsidRPr="000B1EA6" w:rsidRDefault="000B1EA6" w:rsidP="002A2127">
            <w:pPr>
              <w:jc w:val="center"/>
              <w:rPr>
                <w:rFonts w:cs="Times New Roman"/>
                <w:color w:val="000000"/>
                <w:szCs w:val="20"/>
              </w:rPr>
            </w:pPr>
            <w:r w:rsidRPr="000B1EA6">
              <w:rPr>
                <w:rFonts w:cs="Times New Roman"/>
                <w:color w:val="000000"/>
                <w:szCs w:val="20"/>
              </w:rPr>
              <w:t>99.</w:t>
            </w:r>
            <w:r w:rsidR="00C90047">
              <w:rPr>
                <w:rFonts w:cs="Times New Roman"/>
                <w:color w:val="000000"/>
                <w:szCs w:val="20"/>
              </w:rPr>
              <w:t>9</w:t>
            </w:r>
          </w:p>
        </w:tc>
      </w:tr>
      <w:tr w:rsidR="000B1EA6" w14:paraId="5001F591" w14:textId="77777777" w:rsidTr="00D56B3B">
        <w:trPr>
          <w:trHeight w:hRule="exact" w:val="264"/>
          <w:jc w:val="center"/>
        </w:trPr>
        <w:tc>
          <w:tcPr>
            <w:tcW w:w="1341" w:type="dxa"/>
          </w:tcPr>
          <w:p w14:paraId="0CAE2ADF" w14:textId="77777777" w:rsidR="000B1EA6" w:rsidRDefault="000B1EA6" w:rsidP="000B1EA6">
            <w:pPr>
              <w:jc w:val="center"/>
            </w:pPr>
            <w:r>
              <w:t>500.0</w:t>
            </w:r>
            <w:r w:rsidR="008A7B51">
              <w:t>0</w:t>
            </w:r>
          </w:p>
        </w:tc>
        <w:tc>
          <w:tcPr>
            <w:tcW w:w="1454" w:type="dxa"/>
          </w:tcPr>
          <w:p w14:paraId="10AF564D" w14:textId="77777777" w:rsidR="000B1EA6" w:rsidRDefault="000B1EA6" w:rsidP="000B1EA6">
            <w:pPr>
              <w:jc w:val="center"/>
            </w:pPr>
            <w:r>
              <w:t>62.5</w:t>
            </w:r>
            <w:r w:rsidR="008A7B51">
              <w:t>0</w:t>
            </w:r>
          </w:p>
        </w:tc>
        <w:tc>
          <w:tcPr>
            <w:tcW w:w="1341" w:type="dxa"/>
          </w:tcPr>
          <w:p w14:paraId="318E7EAC" w14:textId="77777777" w:rsidR="000B1EA6" w:rsidRDefault="000B1EA6" w:rsidP="000B1EA6">
            <w:pPr>
              <w:jc w:val="center"/>
            </w:pPr>
            <w:r>
              <w:t>281.</w:t>
            </w:r>
            <w:r w:rsidR="008A7B51">
              <w:t>25</w:t>
            </w:r>
          </w:p>
        </w:tc>
        <w:tc>
          <w:tcPr>
            <w:tcW w:w="1565" w:type="dxa"/>
            <w:tcBorders>
              <w:top w:val="nil"/>
              <w:left w:val="nil"/>
              <w:right w:val="nil"/>
            </w:tcBorders>
            <w:shd w:val="clear" w:color="auto" w:fill="auto"/>
          </w:tcPr>
          <w:p w14:paraId="429E56E3" w14:textId="77777777" w:rsidR="000B1EA6" w:rsidRPr="000B1EA6" w:rsidRDefault="000B1EA6" w:rsidP="002A2127">
            <w:pPr>
              <w:jc w:val="center"/>
              <w:rPr>
                <w:rFonts w:cs="Times New Roman"/>
                <w:color w:val="000000"/>
                <w:szCs w:val="20"/>
              </w:rPr>
            </w:pPr>
            <w:r w:rsidRPr="000B1EA6">
              <w:rPr>
                <w:rFonts w:cs="Times New Roman"/>
                <w:color w:val="000000"/>
                <w:szCs w:val="20"/>
              </w:rPr>
              <w:t>266.</w:t>
            </w:r>
            <w:r w:rsidR="00D438E7">
              <w:rPr>
                <w:rFonts w:cs="Times New Roman"/>
                <w:color w:val="000000"/>
                <w:szCs w:val="20"/>
              </w:rPr>
              <w:t>17</w:t>
            </w:r>
          </w:p>
        </w:tc>
        <w:tc>
          <w:tcPr>
            <w:tcW w:w="894" w:type="dxa"/>
            <w:tcBorders>
              <w:top w:val="nil"/>
              <w:left w:val="nil"/>
              <w:right w:val="nil"/>
            </w:tcBorders>
            <w:shd w:val="clear" w:color="auto" w:fill="auto"/>
          </w:tcPr>
          <w:p w14:paraId="4F782A77" w14:textId="77777777" w:rsidR="000B1EA6" w:rsidRPr="000B1EA6" w:rsidRDefault="000B1EA6" w:rsidP="002A2127">
            <w:pPr>
              <w:jc w:val="center"/>
              <w:rPr>
                <w:rFonts w:cs="Times New Roman"/>
                <w:color w:val="000000"/>
                <w:szCs w:val="20"/>
              </w:rPr>
            </w:pPr>
            <w:r w:rsidRPr="000B1EA6">
              <w:rPr>
                <w:rFonts w:cs="Times New Roman"/>
                <w:color w:val="000000"/>
                <w:szCs w:val="20"/>
              </w:rPr>
              <w:t>94.6</w:t>
            </w:r>
          </w:p>
        </w:tc>
      </w:tr>
      <w:tr w:rsidR="000B1EA6" w14:paraId="02658C7A" w14:textId="77777777" w:rsidTr="00D56B3B">
        <w:trPr>
          <w:trHeight w:hRule="exact" w:val="264"/>
          <w:jc w:val="center"/>
        </w:trPr>
        <w:tc>
          <w:tcPr>
            <w:tcW w:w="1341" w:type="dxa"/>
          </w:tcPr>
          <w:p w14:paraId="76368973" w14:textId="77777777" w:rsidR="000B1EA6" w:rsidRDefault="000B1EA6" w:rsidP="000B1EA6">
            <w:pPr>
              <w:jc w:val="center"/>
            </w:pPr>
            <w:r>
              <w:t>1000.0</w:t>
            </w:r>
            <w:r w:rsidR="008A7B51">
              <w:t>0</w:t>
            </w:r>
          </w:p>
        </w:tc>
        <w:tc>
          <w:tcPr>
            <w:tcW w:w="1454" w:type="dxa"/>
          </w:tcPr>
          <w:p w14:paraId="2543EF73" w14:textId="77777777" w:rsidR="000B1EA6" w:rsidRDefault="000B1EA6" w:rsidP="000B1EA6">
            <w:pPr>
              <w:jc w:val="center"/>
            </w:pPr>
            <w:r>
              <w:t>62.5</w:t>
            </w:r>
            <w:r w:rsidR="008A7B51">
              <w:t>0</w:t>
            </w:r>
          </w:p>
        </w:tc>
        <w:tc>
          <w:tcPr>
            <w:tcW w:w="1341" w:type="dxa"/>
          </w:tcPr>
          <w:p w14:paraId="3A45CD31" w14:textId="77777777" w:rsidR="000B1EA6" w:rsidRDefault="000B1EA6" w:rsidP="000B1EA6">
            <w:pPr>
              <w:jc w:val="center"/>
            </w:pPr>
            <w:r>
              <w:t>53</w:t>
            </w:r>
            <w:r w:rsidR="008A7B51">
              <w:t>1.25</w:t>
            </w:r>
          </w:p>
        </w:tc>
        <w:tc>
          <w:tcPr>
            <w:tcW w:w="1565" w:type="dxa"/>
            <w:tcBorders>
              <w:top w:val="nil"/>
              <w:left w:val="nil"/>
              <w:bottom w:val="nil"/>
              <w:right w:val="nil"/>
            </w:tcBorders>
            <w:shd w:val="clear" w:color="auto" w:fill="auto"/>
          </w:tcPr>
          <w:p w14:paraId="22DDB668" w14:textId="77777777" w:rsidR="000B1EA6" w:rsidRPr="000B1EA6" w:rsidRDefault="000B1EA6" w:rsidP="002A2127">
            <w:pPr>
              <w:jc w:val="center"/>
              <w:rPr>
                <w:rFonts w:cs="Times New Roman"/>
                <w:color w:val="000000"/>
                <w:szCs w:val="20"/>
              </w:rPr>
            </w:pPr>
            <w:r w:rsidRPr="000B1EA6">
              <w:rPr>
                <w:rFonts w:cs="Times New Roman"/>
                <w:color w:val="000000"/>
                <w:szCs w:val="20"/>
              </w:rPr>
              <w:t>507.</w:t>
            </w:r>
            <w:r w:rsidR="008A7B51">
              <w:rPr>
                <w:rFonts w:cs="Times New Roman"/>
                <w:color w:val="000000"/>
                <w:szCs w:val="20"/>
              </w:rPr>
              <w:t>06</w:t>
            </w:r>
          </w:p>
        </w:tc>
        <w:tc>
          <w:tcPr>
            <w:tcW w:w="894" w:type="dxa"/>
            <w:tcBorders>
              <w:top w:val="nil"/>
              <w:left w:val="nil"/>
              <w:bottom w:val="nil"/>
              <w:right w:val="nil"/>
            </w:tcBorders>
            <w:shd w:val="clear" w:color="auto" w:fill="auto"/>
          </w:tcPr>
          <w:p w14:paraId="2EAB72F2" w14:textId="77777777" w:rsidR="000B1EA6" w:rsidRPr="000B1EA6" w:rsidRDefault="000B1EA6" w:rsidP="002A2127">
            <w:pPr>
              <w:jc w:val="center"/>
              <w:rPr>
                <w:rFonts w:cs="Times New Roman"/>
                <w:color w:val="000000"/>
                <w:szCs w:val="20"/>
              </w:rPr>
            </w:pPr>
            <w:r w:rsidRPr="000B1EA6">
              <w:rPr>
                <w:rFonts w:cs="Times New Roman"/>
                <w:color w:val="000000"/>
                <w:szCs w:val="20"/>
              </w:rPr>
              <w:t>9</w:t>
            </w:r>
            <w:r w:rsidR="00D438E7">
              <w:rPr>
                <w:rFonts w:cs="Times New Roman"/>
                <w:color w:val="000000"/>
                <w:szCs w:val="20"/>
              </w:rPr>
              <w:t>5.</w:t>
            </w:r>
            <w:r w:rsidR="00C90047">
              <w:rPr>
                <w:rFonts w:cs="Times New Roman"/>
                <w:color w:val="000000"/>
                <w:szCs w:val="20"/>
              </w:rPr>
              <w:t>5</w:t>
            </w:r>
          </w:p>
        </w:tc>
      </w:tr>
      <w:tr w:rsidR="00C622DB" w14:paraId="7E2D8035" w14:textId="77777777" w:rsidTr="00D56B3B">
        <w:trPr>
          <w:trHeight w:hRule="exact" w:val="74"/>
          <w:jc w:val="center"/>
        </w:trPr>
        <w:tc>
          <w:tcPr>
            <w:tcW w:w="1341" w:type="dxa"/>
            <w:tcBorders>
              <w:bottom w:val="single" w:sz="4" w:space="0" w:color="auto"/>
            </w:tcBorders>
          </w:tcPr>
          <w:p w14:paraId="0CCAE0A4" w14:textId="77777777" w:rsidR="00C622DB" w:rsidRDefault="00C622DB" w:rsidP="00FB4C67"/>
        </w:tc>
        <w:tc>
          <w:tcPr>
            <w:tcW w:w="1454" w:type="dxa"/>
            <w:tcBorders>
              <w:bottom w:val="single" w:sz="4" w:space="0" w:color="auto"/>
            </w:tcBorders>
          </w:tcPr>
          <w:p w14:paraId="5E18AF86" w14:textId="77777777" w:rsidR="00C622DB" w:rsidRDefault="00C622DB" w:rsidP="00FB4C67"/>
        </w:tc>
        <w:tc>
          <w:tcPr>
            <w:tcW w:w="1341" w:type="dxa"/>
            <w:tcBorders>
              <w:bottom w:val="single" w:sz="4" w:space="0" w:color="auto"/>
            </w:tcBorders>
          </w:tcPr>
          <w:p w14:paraId="74127E22" w14:textId="77777777" w:rsidR="00C622DB" w:rsidRDefault="00C622DB" w:rsidP="00FB4C67"/>
        </w:tc>
        <w:tc>
          <w:tcPr>
            <w:tcW w:w="1565" w:type="dxa"/>
            <w:tcBorders>
              <w:bottom w:val="single" w:sz="4" w:space="0" w:color="auto"/>
            </w:tcBorders>
          </w:tcPr>
          <w:p w14:paraId="047DE6CD" w14:textId="77777777" w:rsidR="00C622DB" w:rsidRPr="000B1EA6" w:rsidRDefault="00C622DB" w:rsidP="000B1EA6">
            <w:pPr>
              <w:jc w:val="center"/>
              <w:rPr>
                <w:rFonts w:cs="Times New Roman"/>
                <w:szCs w:val="20"/>
              </w:rPr>
            </w:pPr>
          </w:p>
        </w:tc>
        <w:tc>
          <w:tcPr>
            <w:tcW w:w="894" w:type="dxa"/>
            <w:tcBorders>
              <w:bottom w:val="single" w:sz="4" w:space="0" w:color="auto"/>
            </w:tcBorders>
          </w:tcPr>
          <w:p w14:paraId="6D0BF11B" w14:textId="77777777" w:rsidR="00C622DB" w:rsidRPr="000B1EA6" w:rsidRDefault="00C622DB" w:rsidP="000B1EA6">
            <w:pPr>
              <w:jc w:val="center"/>
              <w:rPr>
                <w:rFonts w:cs="Times New Roman"/>
                <w:szCs w:val="20"/>
              </w:rPr>
            </w:pPr>
          </w:p>
        </w:tc>
      </w:tr>
    </w:tbl>
    <w:p w14:paraId="329C6492" w14:textId="77777777" w:rsidR="00C622DB" w:rsidRPr="00C622DB" w:rsidRDefault="00C622DB" w:rsidP="00C622DB">
      <w:bookmarkStart w:id="7" w:name="_GoBack"/>
      <w:bookmarkEnd w:id="7"/>
    </w:p>
    <w:p w14:paraId="34CAFD7F" w14:textId="31CB2C3F" w:rsidR="00915460" w:rsidRDefault="00915460" w:rsidP="004E4C14">
      <w:pPr>
        <w:pStyle w:val="Caption"/>
        <w:spacing w:before="120" w:after="0"/>
        <w:rPr>
          <w:rFonts w:cs="Times New Roman"/>
        </w:rPr>
      </w:pPr>
      <w:r>
        <w:rPr>
          <w:rFonts w:cs="Times New Roman"/>
        </w:rPr>
        <w:lastRenderedPageBreak/>
        <w:t xml:space="preserve">Successful drug delivery into the lungs </w:t>
      </w:r>
      <w:r w:rsidRPr="00FC605B">
        <w:rPr>
          <w:rFonts w:cs="Times New Roman"/>
          <w:i/>
          <w:iCs w:val="0"/>
        </w:rPr>
        <w:t>via</w:t>
      </w:r>
      <w:r>
        <w:rPr>
          <w:rFonts w:cs="Times New Roman"/>
        </w:rPr>
        <w:t xml:space="preserve"> inhalation depends </w:t>
      </w:r>
      <w:r w:rsidR="00B366A0">
        <w:rPr>
          <w:rFonts w:cs="Times New Roman"/>
        </w:rPr>
        <w:t xml:space="preserve">greatly </w:t>
      </w:r>
      <w:r>
        <w:rPr>
          <w:rFonts w:cs="Times New Roman"/>
        </w:rPr>
        <w:t>on the aerosolization performance of its carrier</w:t>
      </w:r>
      <w:r w:rsidR="00B366A0">
        <w:rPr>
          <w:rFonts w:cs="Times New Roman"/>
        </w:rPr>
        <w:t xml:space="preserve"> system</w:t>
      </w:r>
      <w:r>
        <w:rPr>
          <w:rFonts w:cs="Times New Roman"/>
        </w:rPr>
        <w:t xml:space="preserve">, which </w:t>
      </w:r>
      <w:r w:rsidR="00B366A0">
        <w:rPr>
          <w:rFonts w:cs="Times New Roman"/>
        </w:rPr>
        <w:t xml:space="preserve">related </w:t>
      </w:r>
      <w:r w:rsidR="00D25ECB">
        <w:rPr>
          <w:rFonts w:cs="Times New Roman"/>
        </w:rPr>
        <w:t xml:space="preserve">directly </w:t>
      </w:r>
      <w:r w:rsidR="00B366A0">
        <w:rPr>
          <w:rFonts w:cs="Times New Roman"/>
        </w:rPr>
        <w:t>to</w:t>
      </w:r>
      <w:r>
        <w:rPr>
          <w:rFonts w:cs="Times New Roman"/>
        </w:rPr>
        <w:t xml:space="preserve"> its aerodynamic properties. The use of </w:t>
      </w:r>
      <w:r w:rsidR="00D25ECB">
        <w:rPr>
          <w:rFonts w:cs="Times New Roman"/>
        </w:rPr>
        <w:t>ACI</w:t>
      </w:r>
      <w:r>
        <w:rPr>
          <w:rFonts w:cs="Times New Roman"/>
        </w:rPr>
        <w:t xml:space="preserve"> benefits the preliminary screening o</w:t>
      </w:r>
      <w:r w:rsidR="002A2127">
        <w:rPr>
          <w:rFonts w:cs="Times New Roman"/>
        </w:rPr>
        <w:t xml:space="preserve">n DTX-loaded palm-based </w:t>
      </w:r>
      <w:r>
        <w:rPr>
          <w:rFonts w:cs="Times New Roman"/>
        </w:rPr>
        <w:t>nanoemulsion formulations to possibly correlate the lung deposition</w:t>
      </w:r>
      <w:r w:rsidR="008E1785">
        <w:rPr>
          <w:rFonts w:cs="Times New Roman"/>
        </w:rPr>
        <w:t xml:space="preserve"> based on mass of</w:t>
      </w:r>
      <w:r w:rsidR="00573911">
        <w:rPr>
          <w:rFonts w:cs="Times New Roman"/>
        </w:rPr>
        <w:t xml:space="preserve"> the</w:t>
      </w:r>
      <w:r w:rsidR="008E1785">
        <w:rPr>
          <w:rFonts w:cs="Times New Roman"/>
        </w:rPr>
        <w:t xml:space="preserve"> deposited drug</w:t>
      </w:r>
      <w:r>
        <w:rPr>
          <w:rFonts w:cs="Times New Roman"/>
        </w:rPr>
        <w:t xml:space="preserve">. </w:t>
      </w:r>
      <w:r w:rsidR="00573911">
        <w:rPr>
          <w:rFonts w:cs="Times New Roman"/>
        </w:rPr>
        <w:t>In this study</w:t>
      </w:r>
      <w:r>
        <w:rPr>
          <w:rFonts w:cs="Times New Roman"/>
        </w:rPr>
        <w:t xml:space="preserve">, most of </w:t>
      </w:r>
      <w:r w:rsidR="002A2127">
        <w:rPr>
          <w:rFonts w:cs="Times New Roman"/>
        </w:rPr>
        <w:t>DTX</w:t>
      </w:r>
      <w:r w:rsidR="008E1785">
        <w:rPr>
          <w:rFonts w:cs="Times New Roman"/>
        </w:rPr>
        <w:t xml:space="preserve"> </w:t>
      </w:r>
      <w:r>
        <w:rPr>
          <w:rFonts w:cs="Times New Roman"/>
        </w:rPr>
        <w:t>was deposited on stage 3 to 6</w:t>
      </w:r>
      <w:r w:rsidR="00573911">
        <w:rPr>
          <w:rFonts w:cs="Times New Roman"/>
        </w:rPr>
        <w:t xml:space="preserve"> (Table 5),</w:t>
      </w:r>
      <w:r w:rsidR="008E1785">
        <w:rPr>
          <w:rFonts w:cs="Times New Roman"/>
        </w:rPr>
        <w:t xml:space="preserve"> representing aerodynamic diameter cutoff of 4.53, 2.88, 1.51 and 0.96 μm, respectively </w:t>
      </w:r>
      <w:r w:rsidR="008E1785">
        <w:rPr>
          <w:rFonts w:cs="Times New Roman"/>
        </w:rPr>
        <w:fldChar w:fldCharType="begin" w:fldLock="1"/>
      </w:r>
      <w:r w:rsidR="006372CC">
        <w:rPr>
          <w:rFonts w:cs="Times New Roman"/>
        </w:rPr>
        <w:instrText>ADDIN CSL_CITATION {"citationItems":[{"id":"ITEM-1","itemData":{"DOI":"10.1080/10717544.2017.1384298","ISSN":"1071-7544","abstract":"AbstractThe study investigated aerosolization, pulmonary inhalation, intracellular trafficking potential in macrophages and pharmacokinetics profiles of rifampicin-oleic acid first-generation nanoemulsion and its respective chitosan- and chitosan-folate conjugate-decorated second and third-generation nanoemulsions, delivered via nebulization technique. The nanoemulsions were prepared by conjugate synthesis and spontaneous emulsification techniques. They were subjected to physicochemical, drug release, aerosolization, inhalation, cell culture and pharmacokinetics analysis. The nanoemulsions had average droplet sizes of 40–60 nm, with narrow polydispersity indices. They exhibited desirable pH, surface tension, viscosity, refractive index, density and viscosity attributes for pulmonary rifampicin administration. All nanoemulsions demonstrated more than 95% aerosol output and inhalation efficiency greater than 75%. The aerosol output, aerosolized and inhaled fine particle fractions were primarily governed by ...","author":[{"dropping-particle":"","family":"Shah","given":"Kifayatullah","non-dropping-particle":"","parse-names":false,"suffix":""},{"dropping-particle":"","family":"Chan","given":"Lai Wah","non-dropping-particle":"","parse-names":false,"suffix":""},{"dropping-particle":"","family":"Wong","given":"Tin Wui","non-dropping-particle":"","parse-names":false,"suffix":""}],"container-title":"Drug Delivery","id":"ITEM-1","issue":"1","issued":{"date-parts":[["2017","1","24"]]},"page":"1631-1647","publisher":"Taylor &amp; Francis","title":"Critical physicochemical and biological attributes of nanoemulsions for pulmonary delivery of rifampicin by nebulization technique in tuberculosis treatment","type":"article-journal","volume":"24"},"uris":["http://www.mendeley.com/documents/?uuid=1af66064-33d3-316a-b70e-f5542605d445"]}],"mendeley":{"formattedCitation":"[11]","plainTextFormattedCitation":"[11]","previouslyFormattedCitation":"(Shah, Chan, and Wong 2017)"},"properties":{"noteIndex":0},"schema":"https://github.com/citation-style-language/schema/raw/master/csl-citation.json"}</w:instrText>
      </w:r>
      <w:r w:rsidR="008E1785">
        <w:rPr>
          <w:rFonts w:cs="Times New Roman"/>
        </w:rPr>
        <w:fldChar w:fldCharType="separate"/>
      </w:r>
      <w:r w:rsidR="006372CC" w:rsidRPr="006372CC">
        <w:rPr>
          <w:rFonts w:cs="Times New Roman"/>
          <w:noProof/>
        </w:rPr>
        <w:t>[11]</w:t>
      </w:r>
      <w:r w:rsidR="008E1785">
        <w:rPr>
          <w:rFonts w:cs="Times New Roman"/>
        </w:rPr>
        <w:fldChar w:fldCharType="end"/>
      </w:r>
      <w:r>
        <w:rPr>
          <w:rFonts w:cs="Times New Roman"/>
        </w:rPr>
        <w:t>.</w:t>
      </w:r>
      <w:r w:rsidR="004E4C14">
        <w:rPr>
          <w:rFonts w:cs="Times New Roman"/>
        </w:rPr>
        <w:t xml:space="preserve"> Moreover, studies have demonstrated that, nanocarrier with aerodynamic diameter of less than 5 μm has a capability to deposit in the lower airways including alveolar region, where the </w:t>
      </w:r>
      <w:r w:rsidR="00900CE0">
        <w:rPr>
          <w:rFonts w:cs="Times New Roman"/>
        </w:rPr>
        <w:t>tumors</w:t>
      </w:r>
      <w:r w:rsidR="004E4C14">
        <w:rPr>
          <w:rFonts w:cs="Times New Roman"/>
        </w:rPr>
        <w:t xml:space="preserve"> are normally found and </w:t>
      </w:r>
      <w:r w:rsidR="007E319F">
        <w:rPr>
          <w:rFonts w:cs="Times New Roman"/>
        </w:rPr>
        <w:t>absorption mainly occurred</w:t>
      </w:r>
      <w:r w:rsidR="004E4C14">
        <w:rPr>
          <w:rFonts w:cs="Times New Roman"/>
        </w:rPr>
        <w:t xml:space="preserve"> </w:t>
      </w:r>
      <w:r w:rsidR="004E4C14">
        <w:rPr>
          <w:rFonts w:cs="Times New Roman"/>
        </w:rPr>
        <w:fldChar w:fldCharType="begin" w:fldLock="1"/>
      </w:r>
      <w:r w:rsidR="006372CC">
        <w:rPr>
          <w:rFonts w:cs="Times New Roman"/>
        </w:rPr>
        <w:instrText>ADDIN CSL_CITATION {"citationItems":[{"id":"ITEM-1","itemData":{"DOI":"10.1007/s13346-018-0550-4","ISSN":"2190-393X","author":[{"dropping-particle":"","family":"Ngan","given":"Cheng Loong","non-dropping-particle":"","parse-names":false,"suffix":""},{"dropping-particle":"","family":"Asmawi","given":"Azren Aida","non-dropping-particle":"","parse-names":false,"suffix":""}],"container-title":"Drug Delivery and Translational Research","id":"ITEM-1","issued":{"date-parts":[["2018","6","7"]]},"page":"1-18","title":"Lipid-based pulmonary delivery system: a review and future considerations of formulation strategies and limitations","type":"article-journal"},"uris":["http://www.mendeley.com/documents/?uuid=325a7df4-7780-33c0-bf54-b3dbe98feed1"]},{"id":"ITEM-2","itemData":{"DOI":"10.3390/nano5031351","ISSN":"2079-4991","PMID":"28347068","abstract":"With the recent rapid growth of technological comprehension in nanoscience, researchers have aimed to adapt this knowledge to various research fields within engineering and applied science. Dramatic advances in nanomaterials marked a new epoch in biomedical engineering with the expectation that they would have huge contributions to healthcare. However, several questions regarding their safety and toxicity have arisen due to numerous novel properties. Here, recent studies of nanomaterial toxicology will be reviewed from several physiochemical perspectives. A variety of physiochemical properties such as size distribution, electrostatics, surface area, general morphology and aggregation may significantly affect physiological interactions between nanomaterials and target biological areas. Accordingly, it is very important to finely tune these properties in order to safely fulfill a bio-user's purpose.","author":[{"dropping-particle":"","family":"Shin","given":"Seung Won","non-dropping-particle":"","parse-names":false,"suffix":""},{"dropping-particle":"","family":"Song","given":"In Hyun","non-dropping-particle":"","parse-names":false,"suffix":""},{"dropping-particle":"","family":"Um","given":"Soong Ho","non-dropping-particle":"","parse-names":false,"suffix":""}],"container-title":"Nanomaterials (Basel, Switzerland)","id":"ITEM-2","issue":"3","issued":{"date-parts":[["2015","8","19"]]},"page":"1351-1365","publisher":"Multidisciplinary Digital Publishing Institute  (MDPI)","title":"Role of Physicochemical Properties in Nanoparticle Toxicity.","type":"article-journal","volume":"5"},"uris":["http://www.mendeley.com/documents/?uuid=5019f658-86f5-3a06-ad1c-7d136d5947bf"]},{"id":"ITEM-3","itemData":{"DOI":"10.3109/03639045.2014.956111","ISSN":"0363-9045","abstract":"AbstractAlendronate sodium is a bisphosphonate drug used for the treatment of osteoporosis and acts as a specific inhibitor of osteoclast-mediated bone resorption. Inhalable solid lipid nanoparticles (SLNs) of the alendronate were successfully designed and developed by spray-dried and co-spray dried inhalable mannitol from aqueous solution. Emulsification technique using a simple homogenization method was used for preparation of SLNs. In vitro deposition of the aerosolized drug was studied using a Next Generation Impactor at 60 L/min following the methodology described in the European and United States Pharmacopeias. The Carr’s Index, Hausner ratio and angle of repose were calculated as suitable criteria for estimation of the flow behavior of solids. Scanning electron microscopy showed spherical particle morphology of the respirable particles. The proposed spray-dried nanoparticulate-on-microparticles dry powders displayed good aerosol dispersion performance as dry powder inhalers with high values in emit...","author":[{"dropping-particle":"","family":"Ezzati Nazhad Dolatabadi","given":"Jafar","non-dropping-particle":"","parse-names":false,"suffix":""},{"dropping-particle":"","family":"Hamishehkar","given":"Hamed","non-dropping-particle":"","parse-names":false,"suffix":""},{"dropping-particle":"","family":"Valizadeh","given":"Hadi","non-dropping-particle":"","parse-names":false,"suffix":""}],"container-title":"Drug Development and Industrial Pharmacy","id":"ITEM-3","issue":"9","issued":{"date-parts":[["2015"]]},"page":"1431-1437","title":"Development of dry powder inhaler formulation loaded with alendronate solid lipid nanoparticles: solid-state characterization and aerosol dispersion performance","type":"article-journal","volume":"41"},"uris":["http://www.mendeley.com/documents/?uuid=d7b2e3b3-3d0c-4439-a375-0c4eac66c2e5"]}],"mendeley":{"formattedCitation":"[7,12,13]","plainTextFormattedCitation":"[7,12,13]","previouslyFormattedCitation":"(Ezzati Nazhad Dolatabadi, Hamishehkar, and Valizadeh 2015; Ngan and Asmawi 2018; Shin, Song, and Um 2015)"},"properties":{"noteIndex":0},"schema":"https://github.com/citation-style-language/schema/raw/master/csl-citation.json"}</w:instrText>
      </w:r>
      <w:r w:rsidR="004E4C14">
        <w:rPr>
          <w:rFonts w:cs="Times New Roman"/>
        </w:rPr>
        <w:fldChar w:fldCharType="separate"/>
      </w:r>
      <w:r w:rsidR="006372CC" w:rsidRPr="006372CC">
        <w:rPr>
          <w:rFonts w:cs="Times New Roman"/>
          <w:noProof/>
        </w:rPr>
        <w:t>[7,</w:t>
      </w:r>
      <w:r w:rsidR="00FC605B">
        <w:rPr>
          <w:rFonts w:cs="Times New Roman"/>
          <w:noProof/>
        </w:rPr>
        <w:t xml:space="preserve"> </w:t>
      </w:r>
      <w:r w:rsidR="006372CC" w:rsidRPr="006372CC">
        <w:rPr>
          <w:rFonts w:cs="Times New Roman"/>
          <w:noProof/>
        </w:rPr>
        <w:t>12,</w:t>
      </w:r>
      <w:r w:rsidR="00FC605B">
        <w:rPr>
          <w:rFonts w:cs="Times New Roman"/>
          <w:noProof/>
        </w:rPr>
        <w:t xml:space="preserve"> </w:t>
      </w:r>
      <w:r w:rsidR="006372CC" w:rsidRPr="006372CC">
        <w:rPr>
          <w:rFonts w:cs="Times New Roman"/>
          <w:noProof/>
        </w:rPr>
        <w:t>13]</w:t>
      </w:r>
      <w:r w:rsidR="004E4C14">
        <w:rPr>
          <w:rFonts w:cs="Times New Roman"/>
        </w:rPr>
        <w:fldChar w:fldCharType="end"/>
      </w:r>
      <w:r w:rsidR="004E4C14">
        <w:rPr>
          <w:rFonts w:cs="Times New Roman"/>
        </w:rPr>
        <w:t xml:space="preserve">. </w:t>
      </w:r>
    </w:p>
    <w:p w14:paraId="6A6BBD69" w14:textId="77777777" w:rsidR="004E4C14" w:rsidRPr="004E4C14" w:rsidRDefault="004E4C14" w:rsidP="00C20491"/>
    <w:p w14:paraId="424E61E6" w14:textId="77777777" w:rsidR="00397A55" w:rsidRPr="00C33A35" w:rsidRDefault="00397A55" w:rsidP="00376C76">
      <w:pPr>
        <w:pStyle w:val="Caption"/>
        <w:spacing w:after="120"/>
        <w:jc w:val="center"/>
        <w:rPr>
          <w:rFonts w:cs="Times New Roman"/>
        </w:rPr>
      </w:pPr>
      <w:r w:rsidRPr="00C33A35">
        <w:rPr>
          <w:rFonts w:cs="Times New Roman"/>
        </w:rPr>
        <w:t xml:space="preserve">Table </w:t>
      </w:r>
      <w:r w:rsidRPr="00C33A35">
        <w:rPr>
          <w:rFonts w:cs="Times New Roman"/>
        </w:rPr>
        <w:fldChar w:fldCharType="begin"/>
      </w:r>
      <w:r w:rsidRPr="00C33A35">
        <w:rPr>
          <w:rFonts w:cs="Times New Roman"/>
        </w:rPr>
        <w:instrText xml:space="preserve"> SEQ Table \* ARABIC </w:instrText>
      </w:r>
      <w:r w:rsidRPr="00C33A35">
        <w:rPr>
          <w:rFonts w:cs="Times New Roman"/>
        </w:rPr>
        <w:fldChar w:fldCharType="separate"/>
      </w:r>
      <w:r w:rsidR="00E51641">
        <w:rPr>
          <w:rFonts w:cs="Times New Roman"/>
          <w:noProof/>
        </w:rPr>
        <w:t>5</w:t>
      </w:r>
      <w:r w:rsidRPr="00C33A35">
        <w:rPr>
          <w:rFonts w:cs="Times New Roman"/>
        </w:rPr>
        <w:fldChar w:fldCharType="end"/>
      </w:r>
      <w:r w:rsidRPr="00C33A35">
        <w:rPr>
          <w:rFonts w:cs="Times New Roman"/>
        </w:rPr>
        <w:t>. Amount of DTX deposited on stages of Anderson cascade impactor</w:t>
      </w:r>
    </w:p>
    <w:tbl>
      <w:tblPr>
        <w:tblStyle w:val="TableGrid"/>
        <w:tblpPr w:leftFromText="180" w:rightFromText="180" w:vertAnchor="text" w:horzAnchor="margin" w:tblpXSpec="center" w:tblpY="61"/>
        <w:tblOverlap w:val="never"/>
        <w:tblW w:w="51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87"/>
        <w:gridCol w:w="393"/>
        <w:gridCol w:w="3045"/>
      </w:tblGrid>
      <w:tr w:rsidR="00E7752A" w14:paraId="7D875502" w14:textId="77777777" w:rsidTr="00FC605B">
        <w:trPr>
          <w:trHeight w:val="278"/>
        </w:trPr>
        <w:tc>
          <w:tcPr>
            <w:tcW w:w="2080" w:type="dxa"/>
            <w:gridSpan w:val="2"/>
            <w:tcBorders>
              <w:top w:val="single" w:sz="4" w:space="0" w:color="auto"/>
              <w:bottom w:val="single" w:sz="4" w:space="0" w:color="auto"/>
            </w:tcBorders>
            <w:vAlign w:val="center"/>
          </w:tcPr>
          <w:p w14:paraId="540E9EF4" w14:textId="2A456184" w:rsidR="00E7752A" w:rsidRPr="00FC605B" w:rsidRDefault="00E7752A" w:rsidP="007A43A2">
            <w:pPr>
              <w:ind w:firstLine="142"/>
              <w:jc w:val="left"/>
              <w:rPr>
                <w:rFonts w:cs="Times New Roman"/>
                <w:b/>
                <w:bCs/>
              </w:rPr>
            </w:pPr>
            <w:bookmarkStart w:id="8" w:name="_Hlk14085300"/>
            <w:r w:rsidRPr="00FC605B">
              <w:rPr>
                <w:rFonts w:cs="Times New Roman"/>
                <w:b/>
                <w:bCs/>
              </w:rPr>
              <w:t xml:space="preserve">Site of </w:t>
            </w:r>
            <w:r w:rsidR="00FC605B">
              <w:rPr>
                <w:rFonts w:cs="Times New Roman"/>
                <w:b/>
                <w:bCs/>
              </w:rPr>
              <w:t>D</w:t>
            </w:r>
            <w:r w:rsidRPr="00FC605B">
              <w:rPr>
                <w:rFonts w:cs="Times New Roman"/>
                <w:b/>
                <w:bCs/>
              </w:rPr>
              <w:t>eposition</w:t>
            </w:r>
          </w:p>
        </w:tc>
        <w:tc>
          <w:tcPr>
            <w:tcW w:w="3044" w:type="dxa"/>
            <w:tcBorders>
              <w:top w:val="single" w:sz="4" w:space="0" w:color="auto"/>
              <w:bottom w:val="single" w:sz="4" w:space="0" w:color="auto"/>
            </w:tcBorders>
            <w:vAlign w:val="center"/>
          </w:tcPr>
          <w:p w14:paraId="4FF4CDC8" w14:textId="68A296F1" w:rsidR="00E7752A" w:rsidRPr="00FC605B" w:rsidRDefault="0022280A" w:rsidP="007A43A2">
            <w:pPr>
              <w:ind w:left="175"/>
              <w:jc w:val="center"/>
              <w:rPr>
                <w:rFonts w:cs="Times New Roman"/>
                <w:b/>
                <w:bCs/>
              </w:rPr>
            </w:pPr>
            <w:r w:rsidRPr="00FC605B">
              <w:rPr>
                <w:rFonts w:cs="Times New Roman"/>
                <w:b/>
                <w:bCs/>
              </w:rPr>
              <w:t xml:space="preserve">Amount of </w:t>
            </w:r>
            <w:r w:rsidR="00E7752A" w:rsidRPr="00FC605B">
              <w:rPr>
                <w:rFonts w:cs="Times New Roman"/>
                <w:b/>
                <w:bCs/>
              </w:rPr>
              <w:t xml:space="preserve">DTX </w:t>
            </w:r>
            <w:r w:rsidR="00FC605B">
              <w:rPr>
                <w:rFonts w:cs="Times New Roman"/>
                <w:b/>
                <w:bCs/>
              </w:rPr>
              <w:t>D</w:t>
            </w:r>
            <w:r w:rsidRPr="00FC605B">
              <w:rPr>
                <w:rFonts w:cs="Times New Roman"/>
                <w:b/>
                <w:bCs/>
              </w:rPr>
              <w:t>eposited</w:t>
            </w:r>
            <w:r w:rsidR="00FC605B">
              <w:rPr>
                <w:rFonts w:cs="Times New Roman"/>
                <w:b/>
                <w:bCs/>
              </w:rPr>
              <w:t xml:space="preserve"> </w:t>
            </w:r>
            <w:r w:rsidR="00E7752A" w:rsidRPr="00FC605B">
              <w:rPr>
                <w:rFonts w:cs="Times New Roman"/>
                <w:b/>
                <w:bCs/>
              </w:rPr>
              <w:t>(</w:t>
            </w:r>
            <w:proofErr w:type="spellStart"/>
            <w:r w:rsidR="00E7752A" w:rsidRPr="00FC605B">
              <w:rPr>
                <w:rFonts w:cs="Times New Roman"/>
                <w:b/>
                <w:bCs/>
              </w:rPr>
              <w:t>μg</w:t>
            </w:r>
            <w:proofErr w:type="spellEnd"/>
            <w:r w:rsidRPr="00FC605B">
              <w:rPr>
                <w:rFonts w:cs="Times New Roman"/>
                <w:b/>
                <w:bCs/>
              </w:rPr>
              <w:t>)</w:t>
            </w:r>
          </w:p>
        </w:tc>
      </w:tr>
      <w:tr w:rsidR="00E7752A" w14:paraId="4D5896B4" w14:textId="77777777" w:rsidTr="00FC605B">
        <w:trPr>
          <w:trHeight w:hRule="exact" w:val="123"/>
        </w:trPr>
        <w:tc>
          <w:tcPr>
            <w:tcW w:w="2080" w:type="dxa"/>
            <w:gridSpan w:val="2"/>
            <w:tcBorders>
              <w:top w:val="single" w:sz="4" w:space="0" w:color="auto"/>
            </w:tcBorders>
          </w:tcPr>
          <w:p w14:paraId="4BD52862" w14:textId="77777777" w:rsidR="00E7752A" w:rsidRDefault="00E7752A" w:rsidP="00E7752A">
            <w:pPr>
              <w:rPr>
                <w:rFonts w:cs="Times New Roman"/>
              </w:rPr>
            </w:pPr>
          </w:p>
        </w:tc>
        <w:tc>
          <w:tcPr>
            <w:tcW w:w="3044" w:type="dxa"/>
            <w:tcBorders>
              <w:top w:val="single" w:sz="4" w:space="0" w:color="auto"/>
            </w:tcBorders>
          </w:tcPr>
          <w:p w14:paraId="4B7B1EC7" w14:textId="77777777" w:rsidR="00E7752A" w:rsidRDefault="00E7752A" w:rsidP="00E7752A">
            <w:pPr>
              <w:rPr>
                <w:rFonts w:cs="Times New Roman"/>
              </w:rPr>
            </w:pPr>
          </w:p>
        </w:tc>
      </w:tr>
      <w:tr w:rsidR="0022280A" w14:paraId="5E47C2A2" w14:textId="77777777" w:rsidTr="00FC605B">
        <w:trPr>
          <w:trHeight w:hRule="exact" w:val="287"/>
        </w:trPr>
        <w:tc>
          <w:tcPr>
            <w:tcW w:w="1687" w:type="dxa"/>
          </w:tcPr>
          <w:p w14:paraId="5A9A4C22" w14:textId="77777777" w:rsidR="0022280A" w:rsidRDefault="0022280A" w:rsidP="007A43A2">
            <w:pPr>
              <w:ind w:firstLine="284"/>
              <w:rPr>
                <w:rFonts w:cs="Times New Roman"/>
              </w:rPr>
            </w:pPr>
            <w:r>
              <w:rPr>
                <w:rFonts w:cs="Times New Roman"/>
              </w:rPr>
              <w:t>Nebulizer</w:t>
            </w:r>
          </w:p>
        </w:tc>
        <w:tc>
          <w:tcPr>
            <w:tcW w:w="3438" w:type="dxa"/>
            <w:gridSpan w:val="2"/>
            <w:tcBorders>
              <w:top w:val="nil"/>
              <w:left w:val="nil"/>
              <w:bottom w:val="nil"/>
              <w:right w:val="nil"/>
            </w:tcBorders>
            <w:shd w:val="clear" w:color="auto" w:fill="auto"/>
          </w:tcPr>
          <w:p w14:paraId="6C679EE6" w14:textId="77777777" w:rsidR="0022280A" w:rsidRPr="0022280A" w:rsidRDefault="0022280A" w:rsidP="00FC605B">
            <w:pPr>
              <w:widowControl/>
              <w:wordWrap/>
              <w:autoSpaceDE/>
              <w:autoSpaceDN/>
              <w:jc w:val="center"/>
              <w:rPr>
                <w:rFonts w:eastAsia="Times New Roman" w:cs="Times New Roman"/>
                <w:color w:val="000000"/>
                <w:kern w:val="0"/>
                <w:szCs w:val="20"/>
                <w:lang w:eastAsia="en-MY"/>
              </w:rPr>
            </w:pPr>
            <w:r w:rsidRPr="0022280A">
              <w:rPr>
                <w:rFonts w:cs="Times New Roman"/>
                <w:color w:val="000000"/>
                <w:szCs w:val="20"/>
              </w:rPr>
              <w:t>24</w:t>
            </w:r>
            <w:r w:rsidR="00AD2041">
              <w:rPr>
                <w:rFonts w:cs="Times New Roman"/>
                <w:color w:val="000000"/>
                <w:szCs w:val="20"/>
              </w:rPr>
              <w:t>1</w:t>
            </w:r>
            <w:r w:rsidRPr="0022280A">
              <w:rPr>
                <w:rFonts w:cs="Times New Roman"/>
                <w:color w:val="000000"/>
                <w:szCs w:val="20"/>
              </w:rPr>
              <w:t>.</w:t>
            </w:r>
            <w:r w:rsidR="00AD2041">
              <w:rPr>
                <w:rFonts w:cs="Times New Roman"/>
                <w:color w:val="000000"/>
                <w:szCs w:val="20"/>
              </w:rPr>
              <w:t>12</w:t>
            </w:r>
            <w:r>
              <w:rPr>
                <w:rFonts w:cs="Times New Roman"/>
                <w:color w:val="000000"/>
                <w:szCs w:val="20"/>
              </w:rPr>
              <w:t xml:space="preserve"> ±</w:t>
            </w:r>
            <w:r w:rsidR="00D438E7">
              <w:rPr>
                <w:rFonts w:cs="Times New Roman"/>
                <w:color w:val="000000"/>
                <w:szCs w:val="20"/>
              </w:rPr>
              <w:t xml:space="preserve"> 36.80</w:t>
            </w:r>
          </w:p>
        </w:tc>
      </w:tr>
      <w:tr w:rsidR="0022280A" w14:paraId="761720E1" w14:textId="77777777" w:rsidTr="00FC605B">
        <w:trPr>
          <w:trHeight w:hRule="exact" w:val="287"/>
        </w:trPr>
        <w:tc>
          <w:tcPr>
            <w:tcW w:w="1687" w:type="dxa"/>
          </w:tcPr>
          <w:p w14:paraId="02029C0B" w14:textId="77777777" w:rsidR="0022280A" w:rsidRDefault="0022280A" w:rsidP="007A43A2">
            <w:pPr>
              <w:ind w:firstLine="284"/>
              <w:rPr>
                <w:rFonts w:cs="Times New Roman"/>
              </w:rPr>
            </w:pPr>
            <w:r>
              <w:rPr>
                <w:rFonts w:cs="Times New Roman"/>
              </w:rPr>
              <w:t>Induction port</w:t>
            </w:r>
          </w:p>
        </w:tc>
        <w:tc>
          <w:tcPr>
            <w:tcW w:w="3438" w:type="dxa"/>
            <w:gridSpan w:val="2"/>
            <w:tcBorders>
              <w:top w:val="nil"/>
              <w:left w:val="nil"/>
              <w:bottom w:val="nil"/>
              <w:right w:val="nil"/>
            </w:tcBorders>
            <w:shd w:val="clear" w:color="auto" w:fill="auto"/>
          </w:tcPr>
          <w:p w14:paraId="392907A5" w14:textId="77777777" w:rsidR="0022280A" w:rsidRPr="0022280A" w:rsidRDefault="008A7B51" w:rsidP="00FC605B">
            <w:pPr>
              <w:jc w:val="center"/>
              <w:rPr>
                <w:rFonts w:cs="Times New Roman"/>
                <w:color w:val="000000"/>
                <w:szCs w:val="20"/>
              </w:rPr>
            </w:pPr>
            <w:r>
              <w:rPr>
                <w:rFonts w:cs="Times New Roman"/>
                <w:color w:val="000000"/>
                <w:szCs w:val="20"/>
              </w:rPr>
              <w:t>1</w:t>
            </w:r>
            <w:r w:rsidR="00AD2041">
              <w:rPr>
                <w:rFonts w:cs="Times New Roman"/>
                <w:color w:val="000000"/>
                <w:szCs w:val="20"/>
              </w:rPr>
              <w:t>3</w:t>
            </w:r>
            <w:r>
              <w:rPr>
                <w:rFonts w:cs="Times New Roman"/>
                <w:color w:val="000000"/>
                <w:szCs w:val="20"/>
              </w:rPr>
              <w:t>.</w:t>
            </w:r>
            <w:r w:rsidR="00AD2041">
              <w:rPr>
                <w:rFonts w:cs="Times New Roman"/>
                <w:color w:val="000000"/>
                <w:szCs w:val="20"/>
              </w:rPr>
              <w:t>17</w:t>
            </w:r>
            <w:r w:rsidR="0022280A">
              <w:rPr>
                <w:rFonts w:cs="Times New Roman"/>
                <w:color w:val="000000"/>
                <w:szCs w:val="20"/>
              </w:rPr>
              <w:t xml:space="preserve"> ±</w:t>
            </w:r>
            <w:r w:rsidR="00D438E7">
              <w:rPr>
                <w:rFonts w:cs="Times New Roman"/>
                <w:color w:val="000000"/>
                <w:szCs w:val="20"/>
              </w:rPr>
              <w:t xml:space="preserve"> </w:t>
            </w:r>
            <w:r w:rsidR="00AD2041">
              <w:rPr>
                <w:rFonts w:cs="Times New Roman"/>
                <w:color w:val="000000"/>
                <w:szCs w:val="20"/>
              </w:rPr>
              <w:t>6.74</w:t>
            </w:r>
          </w:p>
        </w:tc>
      </w:tr>
      <w:tr w:rsidR="0022280A" w14:paraId="0E51B791" w14:textId="77777777" w:rsidTr="00FC605B">
        <w:trPr>
          <w:trHeight w:hRule="exact" w:val="287"/>
        </w:trPr>
        <w:tc>
          <w:tcPr>
            <w:tcW w:w="1687" w:type="dxa"/>
          </w:tcPr>
          <w:p w14:paraId="705543B5" w14:textId="77777777" w:rsidR="0022280A" w:rsidRDefault="0022280A" w:rsidP="007A43A2">
            <w:pPr>
              <w:ind w:firstLine="284"/>
              <w:rPr>
                <w:rFonts w:cs="Times New Roman"/>
              </w:rPr>
            </w:pPr>
            <w:r>
              <w:rPr>
                <w:rFonts w:cs="Times New Roman"/>
              </w:rPr>
              <w:t>Inlet cone</w:t>
            </w:r>
          </w:p>
        </w:tc>
        <w:tc>
          <w:tcPr>
            <w:tcW w:w="3438" w:type="dxa"/>
            <w:gridSpan w:val="2"/>
            <w:tcBorders>
              <w:top w:val="nil"/>
              <w:left w:val="nil"/>
              <w:bottom w:val="nil"/>
              <w:right w:val="nil"/>
            </w:tcBorders>
            <w:shd w:val="clear" w:color="auto" w:fill="auto"/>
          </w:tcPr>
          <w:p w14:paraId="12136D38" w14:textId="77777777" w:rsidR="0022280A" w:rsidRPr="0022280A" w:rsidRDefault="008A7B51" w:rsidP="00FC605B">
            <w:pPr>
              <w:jc w:val="center"/>
              <w:rPr>
                <w:rFonts w:cs="Times New Roman"/>
                <w:color w:val="000000"/>
                <w:szCs w:val="20"/>
              </w:rPr>
            </w:pPr>
            <w:r>
              <w:rPr>
                <w:rFonts w:cs="Times New Roman"/>
                <w:color w:val="000000"/>
                <w:szCs w:val="20"/>
              </w:rPr>
              <w:t>ND</w:t>
            </w:r>
          </w:p>
        </w:tc>
      </w:tr>
      <w:tr w:rsidR="0022280A" w14:paraId="2DD3F207" w14:textId="77777777" w:rsidTr="00FC605B">
        <w:trPr>
          <w:trHeight w:hRule="exact" w:val="287"/>
        </w:trPr>
        <w:tc>
          <w:tcPr>
            <w:tcW w:w="1687" w:type="dxa"/>
          </w:tcPr>
          <w:p w14:paraId="6FFBEE52" w14:textId="77777777" w:rsidR="0022280A" w:rsidRDefault="0022280A" w:rsidP="007A43A2">
            <w:pPr>
              <w:ind w:firstLine="284"/>
              <w:rPr>
                <w:rFonts w:cs="Times New Roman"/>
              </w:rPr>
            </w:pPr>
            <w:r>
              <w:rPr>
                <w:rFonts w:cs="Times New Roman"/>
              </w:rPr>
              <w:t>Stage 0</w:t>
            </w:r>
          </w:p>
        </w:tc>
        <w:tc>
          <w:tcPr>
            <w:tcW w:w="3438" w:type="dxa"/>
            <w:gridSpan w:val="2"/>
            <w:tcBorders>
              <w:top w:val="nil"/>
              <w:left w:val="nil"/>
              <w:bottom w:val="nil"/>
              <w:right w:val="nil"/>
            </w:tcBorders>
            <w:shd w:val="clear" w:color="auto" w:fill="auto"/>
          </w:tcPr>
          <w:p w14:paraId="2EF2A5EB" w14:textId="77777777" w:rsidR="0022280A" w:rsidRPr="0022280A" w:rsidRDefault="0022280A" w:rsidP="00FC605B">
            <w:pPr>
              <w:jc w:val="center"/>
              <w:rPr>
                <w:rFonts w:cs="Times New Roman"/>
                <w:color w:val="000000"/>
                <w:szCs w:val="20"/>
              </w:rPr>
            </w:pPr>
            <w:r w:rsidRPr="0022280A">
              <w:rPr>
                <w:rFonts w:cs="Times New Roman"/>
                <w:color w:val="000000"/>
                <w:szCs w:val="20"/>
              </w:rPr>
              <w:t>34.7</w:t>
            </w:r>
            <w:r w:rsidR="00D438E7">
              <w:rPr>
                <w:rFonts w:cs="Times New Roman"/>
                <w:color w:val="000000"/>
                <w:szCs w:val="20"/>
              </w:rPr>
              <w:t>4</w:t>
            </w:r>
            <w:r>
              <w:rPr>
                <w:rFonts w:cs="Times New Roman"/>
                <w:color w:val="000000"/>
                <w:szCs w:val="20"/>
              </w:rPr>
              <w:t xml:space="preserve"> ±</w:t>
            </w:r>
            <w:r w:rsidR="00D438E7">
              <w:rPr>
                <w:rFonts w:cs="Times New Roman"/>
                <w:color w:val="000000"/>
                <w:szCs w:val="20"/>
              </w:rPr>
              <w:t xml:space="preserve"> 9.04</w:t>
            </w:r>
          </w:p>
        </w:tc>
      </w:tr>
      <w:tr w:rsidR="0022280A" w14:paraId="6F29CADB" w14:textId="77777777" w:rsidTr="00FC605B">
        <w:trPr>
          <w:trHeight w:hRule="exact" w:val="287"/>
        </w:trPr>
        <w:tc>
          <w:tcPr>
            <w:tcW w:w="1687" w:type="dxa"/>
          </w:tcPr>
          <w:p w14:paraId="36F8BF39" w14:textId="77777777" w:rsidR="0022280A" w:rsidRDefault="0022280A" w:rsidP="007A43A2">
            <w:pPr>
              <w:ind w:firstLine="284"/>
              <w:rPr>
                <w:rFonts w:cs="Times New Roman"/>
              </w:rPr>
            </w:pPr>
            <w:r>
              <w:rPr>
                <w:rFonts w:cs="Times New Roman"/>
              </w:rPr>
              <w:t>Stage 1</w:t>
            </w:r>
          </w:p>
        </w:tc>
        <w:tc>
          <w:tcPr>
            <w:tcW w:w="3438" w:type="dxa"/>
            <w:gridSpan w:val="2"/>
            <w:tcBorders>
              <w:top w:val="nil"/>
              <w:left w:val="nil"/>
              <w:bottom w:val="nil"/>
              <w:right w:val="nil"/>
            </w:tcBorders>
            <w:shd w:val="clear" w:color="auto" w:fill="auto"/>
          </w:tcPr>
          <w:p w14:paraId="7FCCCEE3" w14:textId="77777777" w:rsidR="0022280A" w:rsidRPr="0022280A" w:rsidRDefault="0022280A" w:rsidP="00FC605B">
            <w:pPr>
              <w:jc w:val="center"/>
              <w:rPr>
                <w:rFonts w:cs="Times New Roman"/>
                <w:color w:val="000000"/>
                <w:szCs w:val="20"/>
              </w:rPr>
            </w:pPr>
            <w:r w:rsidRPr="0022280A">
              <w:rPr>
                <w:rFonts w:cs="Times New Roman"/>
                <w:color w:val="000000"/>
                <w:szCs w:val="20"/>
              </w:rPr>
              <w:t>31.</w:t>
            </w:r>
            <w:r w:rsidR="00D438E7">
              <w:rPr>
                <w:rFonts w:cs="Times New Roman"/>
                <w:color w:val="000000"/>
                <w:szCs w:val="20"/>
              </w:rPr>
              <w:t>47</w:t>
            </w:r>
            <w:r>
              <w:rPr>
                <w:rFonts w:cs="Times New Roman"/>
                <w:color w:val="000000"/>
                <w:szCs w:val="20"/>
              </w:rPr>
              <w:t xml:space="preserve"> ±</w:t>
            </w:r>
            <w:r w:rsidR="00D438E7">
              <w:rPr>
                <w:rFonts w:cs="Times New Roman"/>
                <w:color w:val="000000"/>
                <w:szCs w:val="20"/>
              </w:rPr>
              <w:t xml:space="preserve"> 16.41</w:t>
            </w:r>
          </w:p>
        </w:tc>
      </w:tr>
      <w:tr w:rsidR="0022280A" w14:paraId="3BE1DE07" w14:textId="77777777" w:rsidTr="00FC605B">
        <w:trPr>
          <w:trHeight w:hRule="exact" w:val="287"/>
        </w:trPr>
        <w:tc>
          <w:tcPr>
            <w:tcW w:w="1687" w:type="dxa"/>
          </w:tcPr>
          <w:p w14:paraId="31581F15" w14:textId="77777777" w:rsidR="0022280A" w:rsidRDefault="0022280A" w:rsidP="007A43A2">
            <w:pPr>
              <w:ind w:firstLine="284"/>
              <w:rPr>
                <w:rFonts w:cs="Times New Roman"/>
              </w:rPr>
            </w:pPr>
            <w:r>
              <w:rPr>
                <w:rFonts w:cs="Times New Roman"/>
              </w:rPr>
              <w:t>Stage 2</w:t>
            </w:r>
          </w:p>
        </w:tc>
        <w:tc>
          <w:tcPr>
            <w:tcW w:w="3438" w:type="dxa"/>
            <w:gridSpan w:val="2"/>
            <w:tcBorders>
              <w:top w:val="nil"/>
              <w:left w:val="nil"/>
              <w:bottom w:val="nil"/>
              <w:right w:val="nil"/>
            </w:tcBorders>
            <w:shd w:val="clear" w:color="auto" w:fill="auto"/>
          </w:tcPr>
          <w:p w14:paraId="1CAD3548" w14:textId="77777777" w:rsidR="0022280A" w:rsidRPr="0022280A" w:rsidRDefault="0022280A" w:rsidP="00FC605B">
            <w:pPr>
              <w:jc w:val="center"/>
              <w:rPr>
                <w:rFonts w:cs="Times New Roman"/>
                <w:color w:val="000000"/>
                <w:szCs w:val="20"/>
              </w:rPr>
            </w:pPr>
            <w:r w:rsidRPr="0022280A">
              <w:rPr>
                <w:rFonts w:cs="Times New Roman"/>
                <w:color w:val="000000"/>
                <w:szCs w:val="20"/>
              </w:rPr>
              <w:t>86.7</w:t>
            </w:r>
            <w:r w:rsidR="00D438E7">
              <w:rPr>
                <w:rFonts w:cs="Times New Roman"/>
                <w:color w:val="000000"/>
                <w:szCs w:val="20"/>
              </w:rPr>
              <w:t>3</w:t>
            </w:r>
            <w:r>
              <w:rPr>
                <w:rFonts w:cs="Times New Roman"/>
                <w:color w:val="000000"/>
                <w:szCs w:val="20"/>
              </w:rPr>
              <w:t xml:space="preserve"> ±</w:t>
            </w:r>
            <w:r w:rsidR="00D438E7">
              <w:rPr>
                <w:rFonts w:cs="Times New Roman"/>
                <w:color w:val="000000"/>
                <w:szCs w:val="20"/>
              </w:rPr>
              <w:t xml:space="preserve"> 20.88</w:t>
            </w:r>
          </w:p>
        </w:tc>
      </w:tr>
      <w:tr w:rsidR="0022280A" w14:paraId="7BF1C9B8" w14:textId="77777777" w:rsidTr="00FC605B">
        <w:trPr>
          <w:trHeight w:hRule="exact" w:val="287"/>
        </w:trPr>
        <w:tc>
          <w:tcPr>
            <w:tcW w:w="1687" w:type="dxa"/>
          </w:tcPr>
          <w:p w14:paraId="630F8856" w14:textId="77777777" w:rsidR="0022280A" w:rsidRDefault="0022280A" w:rsidP="007A43A2">
            <w:pPr>
              <w:ind w:firstLine="284"/>
              <w:rPr>
                <w:rFonts w:cs="Times New Roman"/>
              </w:rPr>
            </w:pPr>
            <w:r>
              <w:rPr>
                <w:rFonts w:cs="Times New Roman"/>
              </w:rPr>
              <w:t>Stage 3</w:t>
            </w:r>
          </w:p>
        </w:tc>
        <w:tc>
          <w:tcPr>
            <w:tcW w:w="3438" w:type="dxa"/>
            <w:gridSpan w:val="2"/>
            <w:tcBorders>
              <w:top w:val="nil"/>
              <w:left w:val="nil"/>
              <w:bottom w:val="nil"/>
              <w:right w:val="nil"/>
            </w:tcBorders>
            <w:shd w:val="clear" w:color="auto" w:fill="auto"/>
          </w:tcPr>
          <w:p w14:paraId="65EE2441" w14:textId="77777777" w:rsidR="0022280A" w:rsidRPr="0022280A" w:rsidRDefault="0022280A" w:rsidP="00FC605B">
            <w:pPr>
              <w:jc w:val="center"/>
              <w:rPr>
                <w:rFonts w:cs="Times New Roman"/>
                <w:color w:val="000000"/>
                <w:szCs w:val="20"/>
              </w:rPr>
            </w:pPr>
            <w:r w:rsidRPr="0022280A">
              <w:rPr>
                <w:rFonts w:cs="Times New Roman"/>
                <w:color w:val="000000"/>
                <w:szCs w:val="20"/>
              </w:rPr>
              <w:t>289.7</w:t>
            </w:r>
            <w:r w:rsidR="00D438E7">
              <w:rPr>
                <w:rFonts w:cs="Times New Roman"/>
                <w:color w:val="000000"/>
                <w:szCs w:val="20"/>
              </w:rPr>
              <w:t>3</w:t>
            </w:r>
            <w:r>
              <w:rPr>
                <w:rFonts w:cs="Times New Roman"/>
                <w:color w:val="000000"/>
                <w:szCs w:val="20"/>
              </w:rPr>
              <w:t xml:space="preserve"> ±</w:t>
            </w:r>
            <w:r w:rsidR="00D438E7">
              <w:rPr>
                <w:rFonts w:cs="Times New Roman"/>
                <w:color w:val="000000"/>
                <w:szCs w:val="20"/>
              </w:rPr>
              <w:t xml:space="preserve"> 27.71</w:t>
            </w:r>
          </w:p>
        </w:tc>
      </w:tr>
      <w:tr w:rsidR="0022280A" w14:paraId="04E88687" w14:textId="77777777" w:rsidTr="00FC605B">
        <w:trPr>
          <w:trHeight w:hRule="exact" w:val="287"/>
        </w:trPr>
        <w:tc>
          <w:tcPr>
            <w:tcW w:w="1687" w:type="dxa"/>
          </w:tcPr>
          <w:p w14:paraId="05D49E92" w14:textId="77777777" w:rsidR="0022280A" w:rsidRDefault="0022280A" w:rsidP="007A43A2">
            <w:pPr>
              <w:ind w:firstLine="284"/>
              <w:rPr>
                <w:rFonts w:cs="Times New Roman"/>
              </w:rPr>
            </w:pPr>
            <w:r>
              <w:rPr>
                <w:rFonts w:cs="Times New Roman"/>
              </w:rPr>
              <w:t>Stage 4</w:t>
            </w:r>
          </w:p>
        </w:tc>
        <w:tc>
          <w:tcPr>
            <w:tcW w:w="3438" w:type="dxa"/>
            <w:gridSpan w:val="2"/>
            <w:tcBorders>
              <w:top w:val="nil"/>
              <w:left w:val="nil"/>
              <w:bottom w:val="nil"/>
              <w:right w:val="nil"/>
            </w:tcBorders>
            <w:shd w:val="clear" w:color="auto" w:fill="auto"/>
          </w:tcPr>
          <w:p w14:paraId="48D3EAEE" w14:textId="77777777" w:rsidR="0022280A" w:rsidRPr="0022280A" w:rsidRDefault="0022280A" w:rsidP="00FC605B">
            <w:pPr>
              <w:jc w:val="center"/>
              <w:rPr>
                <w:rFonts w:cs="Times New Roman"/>
                <w:color w:val="000000"/>
                <w:szCs w:val="20"/>
              </w:rPr>
            </w:pPr>
            <w:r w:rsidRPr="0022280A">
              <w:rPr>
                <w:rFonts w:cs="Times New Roman"/>
                <w:color w:val="000000"/>
                <w:szCs w:val="20"/>
              </w:rPr>
              <w:t>757.9</w:t>
            </w:r>
            <w:r w:rsidR="00AD2041">
              <w:rPr>
                <w:rFonts w:cs="Times New Roman"/>
                <w:color w:val="000000"/>
                <w:szCs w:val="20"/>
              </w:rPr>
              <w:t>1</w:t>
            </w:r>
            <w:r>
              <w:rPr>
                <w:rFonts w:cs="Times New Roman"/>
                <w:color w:val="000000"/>
                <w:szCs w:val="20"/>
              </w:rPr>
              <w:t xml:space="preserve"> ±</w:t>
            </w:r>
            <w:r w:rsidR="00D438E7">
              <w:rPr>
                <w:rFonts w:cs="Times New Roman"/>
                <w:color w:val="000000"/>
                <w:szCs w:val="20"/>
              </w:rPr>
              <w:t xml:space="preserve"> 118.51</w:t>
            </w:r>
          </w:p>
        </w:tc>
      </w:tr>
      <w:tr w:rsidR="0022280A" w14:paraId="6EFFF3B6" w14:textId="77777777" w:rsidTr="00FC605B">
        <w:trPr>
          <w:trHeight w:hRule="exact" w:val="287"/>
        </w:trPr>
        <w:tc>
          <w:tcPr>
            <w:tcW w:w="1687" w:type="dxa"/>
          </w:tcPr>
          <w:p w14:paraId="677DA941" w14:textId="77777777" w:rsidR="0022280A" w:rsidRDefault="0022280A" w:rsidP="007A43A2">
            <w:pPr>
              <w:ind w:firstLine="284"/>
              <w:rPr>
                <w:rFonts w:cs="Times New Roman"/>
              </w:rPr>
            </w:pPr>
            <w:r>
              <w:rPr>
                <w:rFonts w:cs="Times New Roman"/>
              </w:rPr>
              <w:t>Stage 5</w:t>
            </w:r>
          </w:p>
        </w:tc>
        <w:tc>
          <w:tcPr>
            <w:tcW w:w="3438" w:type="dxa"/>
            <w:gridSpan w:val="2"/>
            <w:tcBorders>
              <w:top w:val="nil"/>
              <w:left w:val="nil"/>
              <w:bottom w:val="nil"/>
              <w:right w:val="nil"/>
            </w:tcBorders>
            <w:shd w:val="clear" w:color="auto" w:fill="auto"/>
          </w:tcPr>
          <w:p w14:paraId="5AD31600" w14:textId="77777777" w:rsidR="0022280A" w:rsidRPr="0022280A" w:rsidRDefault="0022280A" w:rsidP="00FC605B">
            <w:pPr>
              <w:jc w:val="center"/>
              <w:rPr>
                <w:rFonts w:cs="Times New Roman"/>
                <w:color w:val="000000"/>
                <w:szCs w:val="20"/>
              </w:rPr>
            </w:pPr>
            <w:r w:rsidRPr="0022280A">
              <w:rPr>
                <w:rFonts w:cs="Times New Roman"/>
                <w:color w:val="000000"/>
                <w:szCs w:val="20"/>
              </w:rPr>
              <w:t>823.7</w:t>
            </w:r>
            <w:r w:rsidR="00AD2041">
              <w:rPr>
                <w:rFonts w:cs="Times New Roman"/>
                <w:color w:val="000000"/>
                <w:szCs w:val="20"/>
              </w:rPr>
              <w:t>3</w:t>
            </w:r>
            <w:r>
              <w:rPr>
                <w:rFonts w:cs="Times New Roman"/>
                <w:color w:val="000000"/>
                <w:szCs w:val="20"/>
              </w:rPr>
              <w:t xml:space="preserve"> ±</w:t>
            </w:r>
            <w:r w:rsidR="00D438E7">
              <w:rPr>
                <w:rFonts w:cs="Times New Roman"/>
                <w:color w:val="000000"/>
                <w:szCs w:val="20"/>
              </w:rPr>
              <w:t xml:space="preserve"> 59.60</w:t>
            </w:r>
          </w:p>
        </w:tc>
      </w:tr>
      <w:tr w:rsidR="0022280A" w14:paraId="26EBB60C" w14:textId="77777777" w:rsidTr="00FC605B">
        <w:trPr>
          <w:trHeight w:hRule="exact" w:val="287"/>
        </w:trPr>
        <w:tc>
          <w:tcPr>
            <w:tcW w:w="1687" w:type="dxa"/>
          </w:tcPr>
          <w:p w14:paraId="6C3574AA" w14:textId="77777777" w:rsidR="0022280A" w:rsidRDefault="0022280A" w:rsidP="007A43A2">
            <w:pPr>
              <w:ind w:firstLine="284"/>
              <w:rPr>
                <w:rFonts w:cs="Times New Roman"/>
              </w:rPr>
            </w:pPr>
            <w:r>
              <w:rPr>
                <w:rFonts w:cs="Times New Roman"/>
              </w:rPr>
              <w:t>Stage 6</w:t>
            </w:r>
          </w:p>
        </w:tc>
        <w:tc>
          <w:tcPr>
            <w:tcW w:w="3438" w:type="dxa"/>
            <w:gridSpan w:val="2"/>
            <w:tcBorders>
              <w:top w:val="nil"/>
              <w:left w:val="nil"/>
              <w:bottom w:val="nil"/>
              <w:right w:val="nil"/>
            </w:tcBorders>
            <w:shd w:val="clear" w:color="auto" w:fill="auto"/>
          </w:tcPr>
          <w:p w14:paraId="59C99F28" w14:textId="77777777" w:rsidR="0022280A" w:rsidRPr="0022280A" w:rsidRDefault="0022280A" w:rsidP="00FC605B">
            <w:pPr>
              <w:jc w:val="center"/>
              <w:rPr>
                <w:rFonts w:cs="Times New Roman"/>
                <w:color w:val="000000"/>
                <w:szCs w:val="20"/>
              </w:rPr>
            </w:pPr>
            <w:r w:rsidRPr="0022280A">
              <w:rPr>
                <w:rFonts w:cs="Times New Roman"/>
                <w:color w:val="000000"/>
                <w:szCs w:val="20"/>
              </w:rPr>
              <w:t>212.7</w:t>
            </w:r>
            <w:r w:rsidR="00AD2041">
              <w:rPr>
                <w:rFonts w:cs="Times New Roman"/>
                <w:color w:val="000000"/>
                <w:szCs w:val="20"/>
              </w:rPr>
              <w:t>0</w:t>
            </w:r>
            <w:r>
              <w:rPr>
                <w:rFonts w:cs="Times New Roman"/>
                <w:color w:val="000000"/>
                <w:szCs w:val="20"/>
              </w:rPr>
              <w:t xml:space="preserve"> ±</w:t>
            </w:r>
            <w:r w:rsidR="00D438E7">
              <w:rPr>
                <w:rFonts w:cs="Times New Roman"/>
                <w:color w:val="000000"/>
                <w:szCs w:val="20"/>
              </w:rPr>
              <w:t xml:space="preserve"> 101.15</w:t>
            </w:r>
          </w:p>
        </w:tc>
      </w:tr>
      <w:tr w:rsidR="0022280A" w14:paraId="439604A4" w14:textId="77777777" w:rsidTr="00FC605B">
        <w:trPr>
          <w:trHeight w:hRule="exact" w:val="287"/>
        </w:trPr>
        <w:tc>
          <w:tcPr>
            <w:tcW w:w="1687" w:type="dxa"/>
          </w:tcPr>
          <w:p w14:paraId="3BB3AF25" w14:textId="77777777" w:rsidR="0022280A" w:rsidRDefault="0022280A" w:rsidP="007A43A2">
            <w:pPr>
              <w:ind w:firstLine="284"/>
              <w:rPr>
                <w:rFonts w:cs="Times New Roman"/>
              </w:rPr>
            </w:pPr>
            <w:r>
              <w:rPr>
                <w:rFonts w:cs="Times New Roman"/>
              </w:rPr>
              <w:t>Stage 7</w:t>
            </w:r>
          </w:p>
        </w:tc>
        <w:tc>
          <w:tcPr>
            <w:tcW w:w="3438" w:type="dxa"/>
            <w:gridSpan w:val="2"/>
            <w:tcBorders>
              <w:top w:val="nil"/>
              <w:left w:val="nil"/>
              <w:bottom w:val="nil"/>
              <w:right w:val="nil"/>
            </w:tcBorders>
            <w:shd w:val="clear" w:color="auto" w:fill="auto"/>
          </w:tcPr>
          <w:p w14:paraId="7752EE89" w14:textId="77777777" w:rsidR="0022280A" w:rsidRPr="0022280A" w:rsidRDefault="008A7B51" w:rsidP="00FC605B">
            <w:pPr>
              <w:jc w:val="center"/>
              <w:rPr>
                <w:rFonts w:cs="Times New Roman"/>
                <w:color w:val="000000"/>
                <w:szCs w:val="20"/>
              </w:rPr>
            </w:pPr>
            <w:r>
              <w:rPr>
                <w:rFonts w:cs="Times New Roman"/>
                <w:color w:val="000000"/>
                <w:szCs w:val="20"/>
              </w:rPr>
              <w:t>71.</w:t>
            </w:r>
            <w:r w:rsidR="00AD2041">
              <w:rPr>
                <w:rFonts w:cs="Times New Roman"/>
                <w:color w:val="000000"/>
                <w:szCs w:val="20"/>
              </w:rPr>
              <w:t>09</w:t>
            </w:r>
            <w:r w:rsidR="0022280A">
              <w:rPr>
                <w:rFonts w:cs="Times New Roman"/>
                <w:color w:val="000000"/>
                <w:szCs w:val="20"/>
              </w:rPr>
              <w:t xml:space="preserve"> ±</w:t>
            </w:r>
            <w:r w:rsidR="00D438E7">
              <w:rPr>
                <w:rFonts w:cs="Times New Roman"/>
                <w:color w:val="000000"/>
                <w:szCs w:val="20"/>
              </w:rPr>
              <w:t xml:space="preserve"> 22.</w:t>
            </w:r>
            <w:r w:rsidR="00AD2041">
              <w:rPr>
                <w:rFonts w:cs="Times New Roman"/>
                <w:color w:val="000000"/>
                <w:szCs w:val="20"/>
              </w:rPr>
              <w:t>60</w:t>
            </w:r>
          </w:p>
        </w:tc>
      </w:tr>
      <w:tr w:rsidR="0022280A" w14:paraId="7C489BA8" w14:textId="77777777" w:rsidTr="00FC605B">
        <w:trPr>
          <w:trHeight w:hRule="exact" w:val="287"/>
        </w:trPr>
        <w:tc>
          <w:tcPr>
            <w:tcW w:w="1687" w:type="dxa"/>
          </w:tcPr>
          <w:p w14:paraId="6D3CDF9E" w14:textId="77777777" w:rsidR="0022280A" w:rsidRDefault="0022280A" w:rsidP="007A43A2">
            <w:pPr>
              <w:ind w:firstLine="284"/>
              <w:rPr>
                <w:rFonts w:cs="Times New Roman"/>
              </w:rPr>
            </w:pPr>
            <w:r>
              <w:rPr>
                <w:rFonts w:cs="Times New Roman"/>
              </w:rPr>
              <w:t>Filter</w:t>
            </w:r>
          </w:p>
        </w:tc>
        <w:tc>
          <w:tcPr>
            <w:tcW w:w="3438" w:type="dxa"/>
            <w:gridSpan w:val="2"/>
            <w:tcBorders>
              <w:top w:val="nil"/>
              <w:left w:val="nil"/>
              <w:bottom w:val="nil"/>
              <w:right w:val="nil"/>
            </w:tcBorders>
            <w:shd w:val="clear" w:color="auto" w:fill="auto"/>
          </w:tcPr>
          <w:p w14:paraId="535B9AA5" w14:textId="77777777" w:rsidR="0022280A" w:rsidRPr="0022280A" w:rsidRDefault="008A7B51" w:rsidP="00FC605B">
            <w:pPr>
              <w:jc w:val="center"/>
              <w:rPr>
                <w:rFonts w:cs="Times New Roman"/>
                <w:color w:val="000000"/>
                <w:szCs w:val="20"/>
              </w:rPr>
            </w:pPr>
            <w:r>
              <w:rPr>
                <w:rFonts w:cs="Times New Roman"/>
                <w:color w:val="000000"/>
                <w:szCs w:val="20"/>
              </w:rPr>
              <w:t>ND</w:t>
            </w:r>
          </w:p>
        </w:tc>
      </w:tr>
      <w:tr w:rsidR="0022280A" w14:paraId="53055374" w14:textId="77777777" w:rsidTr="00FC605B">
        <w:trPr>
          <w:trHeight w:hRule="exact" w:val="81"/>
        </w:trPr>
        <w:tc>
          <w:tcPr>
            <w:tcW w:w="2080" w:type="dxa"/>
            <w:gridSpan w:val="2"/>
            <w:tcBorders>
              <w:bottom w:val="single" w:sz="4" w:space="0" w:color="auto"/>
            </w:tcBorders>
          </w:tcPr>
          <w:p w14:paraId="08887592" w14:textId="77777777" w:rsidR="0022280A" w:rsidRDefault="0022280A" w:rsidP="00FC605B">
            <w:pPr>
              <w:jc w:val="center"/>
              <w:rPr>
                <w:rFonts w:cs="Times New Roman"/>
              </w:rPr>
            </w:pPr>
          </w:p>
        </w:tc>
        <w:tc>
          <w:tcPr>
            <w:tcW w:w="3044" w:type="dxa"/>
            <w:tcBorders>
              <w:bottom w:val="single" w:sz="4" w:space="0" w:color="auto"/>
            </w:tcBorders>
          </w:tcPr>
          <w:p w14:paraId="76130720" w14:textId="77777777" w:rsidR="0022280A" w:rsidRDefault="0022280A" w:rsidP="00FC605B">
            <w:pPr>
              <w:jc w:val="center"/>
              <w:rPr>
                <w:rFonts w:cs="Times New Roman"/>
              </w:rPr>
            </w:pPr>
          </w:p>
        </w:tc>
      </w:tr>
    </w:tbl>
    <w:bookmarkEnd w:id="8"/>
    <w:p w14:paraId="0E5F7AA9" w14:textId="77777777" w:rsidR="00397A55" w:rsidRPr="00C33A35" w:rsidRDefault="00E7752A" w:rsidP="00BB34A4">
      <w:pPr>
        <w:tabs>
          <w:tab w:val="left" w:pos="7088"/>
          <w:tab w:val="left" w:pos="7230"/>
          <w:tab w:val="left" w:pos="7655"/>
        </w:tabs>
        <w:ind w:left="2127" w:firstLine="2693"/>
        <w:rPr>
          <w:rFonts w:cs="Times New Roman"/>
        </w:rPr>
      </w:pPr>
      <w:r>
        <w:rPr>
          <w:rFonts w:cs="Times New Roman"/>
        </w:rPr>
        <w:br w:type="textWrapping" w:clear="all"/>
      </w:r>
      <w:r w:rsidR="008A7B51" w:rsidRPr="00AC15CA">
        <w:rPr>
          <w:rFonts w:cs="Times New Roman"/>
          <w:sz w:val="16"/>
          <w:szCs w:val="18"/>
        </w:rPr>
        <w:t>ND: not detected</w:t>
      </w:r>
    </w:p>
    <w:p w14:paraId="7FF15FFC" w14:textId="77777777" w:rsidR="008A7B51" w:rsidRDefault="008A7B51" w:rsidP="00DB1313">
      <w:pPr>
        <w:pStyle w:val="Caption"/>
        <w:spacing w:after="120"/>
        <w:jc w:val="center"/>
      </w:pPr>
    </w:p>
    <w:p w14:paraId="69FC4865" w14:textId="77777777" w:rsidR="00EC0FBF" w:rsidRDefault="00780FC3" w:rsidP="00EC0FBF">
      <w:r>
        <w:t>Table 6</w:t>
      </w:r>
      <w:r w:rsidR="00F14AC0">
        <w:t xml:space="preserve"> summarized the aerosolization properties of nebulized DTX-loaded nanoemulsion</w:t>
      </w:r>
      <w:r w:rsidR="00D25ECB">
        <w:t xml:space="preserve"> calculated based on the amount of DTX deposited on stages of ACI. </w:t>
      </w:r>
      <w:r w:rsidR="005D5D82">
        <w:t>T</w:t>
      </w:r>
      <w:r w:rsidR="00FB4C67" w:rsidRPr="00FB4C67">
        <w:t xml:space="preserve">he aerosolized nanoemulsion </w:t>
      </w:r>
      <w:r w:rsidR="00900CE0">
        <w:t>emitted 85.4% of</w:t>
      </w:r>
      <w:r w:rsidR="005D5D82">
        <w:t xml:space="preserve"> loaded drug while </w:t>
      </w:r>
      <w:r w:rsidR="006C7A66">
        <w:t>remaining</w:t>
      </w:r>
      <w:r w:rsidR="005D5D82">
        <w:t xml:space="preserve"> drug might be </w:t>
      </w:r>
      <w:r w:rsidR="007D005A">
        <w:t>trapped</w:t>
      </w:r>
      <w:r w:rsidR="005D5D82">
        <w:t xml:space="preserve"> in the sampling apparatus including nebulizer. It was </w:t>
      </w:r>
      <w:r w:rsidR="009C4BFE">
        <w:t xml:space="preserve">also </w:t>
      </w:r>
      <w:r w:rsidR="005D5D82">
        <w:t>found that,</w:t>
      </w:r>
      <w:r w:rsidR="00900CE0">
        <w:t xml:space="preserve"> more than 75% of the </w:t>
      </w:r>
      <w:r w:rsidR="0098796E">
        <w:t xml:space="preserve">loaded </w:t>
      </w:r>
      <w:r w:rsidR="007D005A">
        <w:t>drug</w:t>
      </w:r>
      <w:r w:rsidR="00900CE0">
        <w:t xml:space="preserve"> able to deposit on ACI stages </w:t>
      </w:r>
      <w:r w:rsidR="0098796E">
        <w:t xml:space="preserve">(stage 0 – 7 and filter) </w:t>
      </w:r>
      <w:r w:rsidR="00900CE0">
        <w:t xml:space="preserve">which mimic </w:t>
      </w:r>
      <w:r w:rsidR="0098796E">
        <w:t xml:space="preserve">the pulmonary region of </w:t>
      </w:r>
      <w:r w:rsidR="00900CE0">
        <w:t>human lung</w:t>
      </w:r>
      <w:r w:rsidR="0098796E">
        <w:t xml:space="preserve">s. </w:t>
      </w:r>
      <w:r w:rsidR="006C7A66">
        <w:t>On top of that</w:t>
      </w:r>
      <w:r w:rsidR="009C4BFE">
        <w:t>, a h</w:t>
      </w:r>
      <w:r w:rsidR="00FB4C67" w:rsidRPr="00FB4C67">
        <w:t xml:space="preserve">igh deposition of drug in the lower stage of cascade impactor </w:t>
      </w:r>
      <w:r w:rsidR="0098796E">
        <w:t xml:space="preserve">was obtained, </w:t>
      </w:r>
      <w:r w:rsidR="00FB4C67">
        <w:t xml:space="preserve">as almost </w:t>
      </w:r>
      <w:r w:rsidR="00BF7AF8">
        <w:t>71.8% of total drug deposited on stage 3 and below (</w:t>
      </w:r>
      <w:r w:rsidR="00BF7AF8" w:rsidRPr="00AF366D">
        <w:rPr>
          <w:rFonts w:cs="Times New Roman"/>
        </w:rPr>
        <w:t>FPD</w:t>
      </w:r>
      <w:r w:rsidR="00BF7AF8" w:rsidRPr="00AF366D">
        <w:rPr>
          <w:rFonts w:cs="Times New Roman"/>
          <w:vertAlign w:val="subscript"/>
        </w:rPr>
        <w:t>&lt;5</w:t>
      </w:r>
      <w:r w:rsidR="00BF7AF8">
        <w:rPr>
          <w:rFonts w:cs="Times New Roman"/>
          <w:vertAlign w:val="subscript"/>
        </w:rPr>
        <w:t>μ</w:t>
      </w:r>
      <w:r w:rsidR="00BF7AF8" w:rsidRPr="00AF366D">
        <w:rPr>
          <w:rFonts w:cs="Times New Roman"/>
          <w:vertAlign w:val="subscript"/>
        </w:rPr>
        <w:t>m</w:t>
      </w:r>
      <w:r w:rsidR="00BF7AF8" w:rsidRPr="00AF366D">
        <w:rPr>
          <w:rFonts w:cs="Times New Roman"/>
        </w:rPr>
        <w:t>)</w:t>
      </w:r>
      <w:r w:rsidR="00BF7AF8">
        <w:t>.</w:t>
      </w:r>
      <w:r w:rsidR="005D5D82">
        <w:t xml:space="preserve"> </w:t>
      </w:r>
      <w:r w:rsidR="00BF7AF8">
        <w:t xml:space="preserve"> </w:t>
      </w:r>
    </w:p>
    <w:p w14:paraId="0E7242A8" w14:textId="77777777" w:rsidR="00F14AC0" w:rsidRPr="00EC0FBF" w:rsidRDefault="00F14AC0" w:rsidP="00FB505B">
      <w:pPr>
        <w:spacing w:after="120"/>
      </w:pPr>
    </w:p>
    <w:p w14:paraId="5073D317" w14:textId="77777777" w:rsidR="0069775B" w:rsidRPr="00C33A35" w:rsidRDefault="00240390" w:rsidP="00DB1313">
      <w:pPr>
        <w:pStyle w:val="Caption"/>
        <w:spacing w:after="120"/>
        <w:jc w:val="center"/>
        <w:rPr>
          <w:rFonts w:cs="Times New Roman"/>
        </w:rPr>
      </w:pPr>
      <w:r>
        <w:t xml:space="preserve">Table </w:t>
      </w:r>
      <w:fldSimple w:instr=" SEQ Table \* ARABIC ">
        <w:r w:rsidR="00E51641">
          <w:rPr>
            <w:noProof/>
          </w:rPr>
          <w:t>6</w:t>
        </w:r>
      </w:fldSimple>
      <w:r>
        <w:t>. Aerosolization properties of nebulized DTX-loaded nanoemulsion</w:t>
      </w:r>
    </w:p>
    <w:tbl>
      <w:tblPr>
        <w:tblStyle w:val="TableGrid"/>
        <w:tblpPr w:leftFromText="180" w:rightFromText="180" w:vertAnchor="text" w:horzAnchor="margin" w:tblpXSpec="center" w:tblpY="61"/>
        <w:tblOverlap w:val="never"/>
        <w:tblW w:w="54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gridCol w:w="284"/>
        <w:gridCol w:w="2268"/>
      </w:tblGrid>
      <w:tr w:rsidR="00DB1313" w14:paraId="55C90C10" w14:textId="77777777" w:rsidTr="004B2CA5">
        <w:trPr>
          <w:trHeight w:val="269"/>
        </w:trPr>
        <w:tc>
          <w:tcPr>
            <w:tcW w:w="3227" w:type="dxa"/>
            <w:gridSpan w:val="2"/>
            <w:tcBorders>
              <w:top w:val="single" w:sz="4" w:space="0" w:color="auto"/>
              <w:bottom w:val="single" w:sz="4" w:space="0" w:color="auto"/>
            </w:tcBorders>
            <w:vAlign w:val="center"/>
          </w:tcPr>
          <w:p w14:paraId="0675EBB5" w14:textId="77777777" w:rsidR="00240390" w:rsidRPr="00FC605B" w:rsidRDefault="00240390" w:rsidP="004B2CA5">
            <w:pPr>
              <w:ind w:left="-139" w:firstLine="423"/>
              <w:jc w:val="left"/>
              <w:rPr>
                <w:rFonts w:cs="Times New Roman"/>
                <w:b/>
                <w:bCs/>
              </w:rPr>
            </w:pPr>
            <w:r w:rsidRPr="00FC605B">
              <w:rPr>
                <w:rFonts w:cs="Times New Roman"/>
                <w:b/>
                <w:bCs/>
              </w:rPr>
              <w:t>Parameter</w:t>
            </w:r>
          </w:p>
        </w:tc>
        <w:tc>
          <w:tcPr>
            <w:tcW w:w="2268" w:type="dxa"/>
            <w:tcBorders>
              <w:top w:val="single" w:sz="4" w:space="0" w:color="auto"/>
              <w:bottom w:val="single" w:sz="4" w:space="0" w:color="auto"/>
            </w:tcBorders>
            <w:vAlign w:val="center"/>
          </w:tcPr>
          <w:p w14:paraId="74E023C4" w14:textId="77777777" w:rsidR="00240390" w:rsidRDefault="00240390" w:rsidP="004B2CA5">
            <w:pPr>
              <w:ind w:left="-139" w:firstLine="139"/>
              <w:rPr>
                <w:rFonts w:cs="Times New Roman"/>
              </w:rPr>
            </w:pPr>
          </w:p>
        </w:tc>
      </w:tr>
      <w:tr w:rsidR="00DB1313" w14:paraId="1B77198B" w14:textId="77777777" w:rsidTr="004B2CA5">
        <w:trPr>
          <w:trHeight w:hRule="exact" w:val="113"/>
        </w:trPr>
        <w:tc>
          <w:tcPr>
            <w:tcW w:w="3227" w:type="dxa"/>
            <w:gridSpan w:val="2"/>
            <w:tcBorders>
              <w:top w:val="single" w:sz="4" w:space="0" w:color="auto"/>
            </w:tcBorders>
          </w:tcPr>
          <w:p w14:paraId="1CE0B761" w14:textId="77777777" w:rsidR="00240390" w:rsidRDefault="00240390" w:rsidP="004B2CA5">
            <w:pPr>
              <w:ind w:left="-139" w:firstLine="423"/>
              <w:rPr>
                <w:rFonts w:cs="Times New Roman"/>
              </w:rPr>
            </w:pPr>
          </w:p>
        </w:tc>
        <w:tc>
          <w:tcPr>
            <w:tcW w:w="2268" w:type="dxa"/>
            <w:tcBorders>
              <w:top w:val="single" w:sz="4" w:space="0" w:color="auto"/>
            </w:tcBorders>
          </w:tcPr>
          <w:p w14:paraId="73E7B77D" w14:textId="77777777" w:rsidR="00240390" w:rsidRDefault="00240390" w:rsidP="004B2CA5">
            <w:pPr>
              <w:ind w:left="-139" w:firstLine="139"/>
              <w:rPr>
                <w:rFonts w:cs="Times New Roman"/>
              </w:rPr>
            </w:pPr>
          </w:p>
        </w:tc>
      </w:tr>
      <w:tr w:rsidR="005543AA" w14:paraId="502FCFE2" w14:textId="77777777" w:rsidTr="002A2127">
        <w:trPr>
          <w:trHeight w:hRule="exact" w:val="284"/>
        </w:trPr>
        <w:tc>
          <w:tcPr>
            <w:tcW w:w="3227" w:type="dxa"/>
            <w:gridSpan w:val="2"/>
            <w:vAlign w:val="center"/>
          </w:tcPr>
          <w:p w14:paraId="431BA8F6" w14:textId="77777777" w:rsidR="005543AA" w:rsidRDefault="005543AA" w:rsidP="002A2127">
            <w:pPr>
              <w:ind w:left="-139" w:firstLine="423"/>
              <w:jc w:val="left"/>
              <w:rPr>
                <w:rFonts w:cs="Times New Roman"/>
              </w:rPr>
            </w:pPr>
            <w:r>
              <w:rPr>
                <w:rFonts w:cs="Times New Roman"/>
              </w:rPr>
              <w:t>Emitted dose (DD)</w:t>
            </w:r>
            <w:r w:rsidR="00900CE0">
              <w:rPr>
                <w:rFonts w:cs="Times New Roman"/>
              </w:rPr>
              <w:t>, %</w:t>
            </w:r>
          </w:p>
        </w:tc>
        <w:tc>
          <w:tcPr>
            <w:tcW w:w="2268" w:type="dxa"/>
            <w:tcBorders>
              <w:top w:val="nil"/>
              <w:left w:val="nil"/>
              <w:bottom w:val="nil"/>
              <w:right w:val="nil"/>
            </w:tcBorders>
            <w:shd w:val="clear" w:color="auto" w:fill="auto"/>
            <w:vAlign w:val="center"/>
          </w:tcPr>
          <w:p w14:paraId="172DB971" w14:textId="77777777" w:rsidR="005543AA" w:rsidRPr="005543AA" w:rsidRDefault="00900CE0" w:rsidP="002A2127">
            <w:pPr>
              <w:widowControl/>
              <w:wordWrap/>
              <w:autoSpaceDE/>
              <w:autoSpaceDN/>
              <w:ind w:left="-139" w:firstLine="734"/>
              <w:jc w:val="left"/>
              <w:rPr>
                <w:rFonts w:eastAsia="Times New Roman" w:cs="Times New Roman"/>
                <w:color w:val="000000"/>
                <w:kern w:val="0"/>
                <w:szCs w:val="20"/>
                <w:lang w:eastAsia="en-MY"/>
              </w:rPr>
            </w:pPr>
            <w:r>
              <w:rPr>
                <w:rFonts w:cs="Times New Roman"/>
                <w:color w:val="000000"/>
                <w:szCs w:val="20"/>
              </w:rPr>
              <w:t>85.4</w:t>
            </w:r>
            <w:r w:rsidR="005543AA">
              <w:rPr>
                <w:rFonts w:cs="Times New Roman"/>
                <w:color w:val="000000"/>
                <w:szCs w:val="20"/>
              </w:rPr>
              <w:t xml:space="preserve"> ± </w:t>
            </w:r>
            <w:r>
              <w:rPr>
                <w:rFonts w:cs="Times New Roman"/>
                <w:color w:val="000000"/>
                <w:szCs w:val="20"/>
              </w:rPr>
              <w:t>3.8</w:t>
            </w:r>
          </w:p>
        </w:tc>
      </w:tr>
      <w:tr w:rsidR="005543AA" w14:paraId="6F5AF48D" w14:textId="77777777" w:rsidTr="002A2127">
        <w:trPr>
          <w:trHeight w:hRule="exact" w:val="284"/>
        </w:trPr>
        <w:tc>
          <w:tcPr>
            <w:tcW w:w="3227" w:type="dxa"/>
            <w:gridSpan w:val="2"/>
            <w:vAlign w:val="center"/>
          </w:tcPr>
          <w:p w14:paraId="5546F4E8" w14:textId="77777777" w:rsidR="005543AA" w:rsidRDefault="005543AA" w:rsidP="002A2127">
            <w:pPr>
              <w:ind w:left="-139" w:firstLine="423"/>
              <w:jc w:val="left"/>
              <w:rPr>
                <w:rFonts w:cs="Times New Roman"/>
              </w:rPr>
            </w:pPr>
            <w:r>
              <w:rPr>
                <w:rFonts w:cs="Times New Roman"/>
              </w:rPr>
              <w:t xml:space="preserve">Deposited dose (ED), </w:t>
            </w:r>
            <w:r w:rsidR="00900CE0">
              <w:rPr>
                <w:rFonts w:cs="Times New Roman"/>
              </w:rPr>
              <w:t>%</w:t>
            </w:r>
          </w:p>
        </w:tc>
        <w:tc>
          <w:tcPr>
            <w:tcW w:w="2268" w:type="dxa"/>
            <w:tcBorders>
              <w:top w:val="nil"/>
              <w:left w:val="nil"/>
              <w:bottom w:val="nil"/>
              <w:right w:val="nil"/>
            </w:tcBorders>
            <w:shd w:val="clear" w:color="auto" w:fill="auto"/>
            <w:vAlign w:val="center"/>
          </w:tcPr>
          <w:p w14:paraId="1E2E4006" w14:textId="77777777" w:rsidR="005543AA" w:rsidRPr="005543AA" w:rsidRDefault="00900CE0" w:rsidP="002A2127">
            <w:pPr>
              <w:ind w:left="-139" w:firstLine="734"/>
              <w:jc w:val="left"/>
              <w:rPr>
                <w:rFonts w:cs="Times New Roman"/>
                <w:color w:val="000000"/>
                <w:szCs w:val="20"/>
              </w:rPr>
            </w:pPr>
            <w:r>
              <w:rPr>
                <w:rFonts w:cs="Times New Roman"/>
                <w:color w:val="000000"/>
                <w:szCs w:val="20"/>
              </w:rPr>
              <w:t>75.8</w:t>
            </w:r>
            <w:r w:rsidR="005543AA">
              <w:rPr>
                <w:rFonts w:cs="Times New Roman"/>
                <w:color w:val="000000"/>
                <w:szCs w:val="20"/>
              </w:rPr>
              <w:t xml:space="preserve"> ± </w:t>
            </w:r>
            <w:r>
              <w:rPr>
                <w:rFonts w:cs="Times New Roman"/>
                <w:color w:val="000000"/>
                <w:szCs w:val="20"/>
              </w:rPr>
              <w:t>2.5</w:t>
            </w:r>
          </w:p>
        </w:tc>
      </w:tr>
      <w:tr w:rsidR="005543AA" w14:paraId="627E148B" w14:textId="77777777" w:rsidTr="002A2127">
        <w:trPr>
          <w:trHeight w:hRule="exact" w:val="284"/>
        </w:trPr>
        <w:tc>
          <w:tcPr>
            <w:tcW w:w="3227" w:type="dxa"/>
            <w:gridSpan w:val="2"/>
            <w:vAlign w:val="center"/>
          </w:tcPr>
          <w:p w14:paraId="0F64C547" w14:textId="77777777" w:rsidR="005543AA" w:rsidRPr="00EE08EB" w:rsidRDefault="005543AA" w:rsidP="002A2127">
            <w:pPr>
              <w:ind w:left="-139" w:firstLine="423"/>
              <w:jc w:val="left"/>
              <w:rPr>
                <w:rFonts w:cs="Times New Roman"/>
                <w:lang w:val="fr-FR"/>
              </w:rPr>
            </w:pPr>
            <w:r w:rsidRPr="00EE08EB">
              <w:rPr>
                <w:rFonts w:cs="Times New Roman"/>
                <w:lang w:val="fr-FR"/>
              </w:rPr>
              <w:t xml:space="preserve">Fine </w:t>
            </w:r>
            <w:proofErr w:type="spellStart"/>
            <w:r w:rsidRPr="00EE08EB">
              <w:rPr>
                <w:rFonts w:cs="Times New Roman"/>
                <w:lang w:val="fr-FR"/>
              </w:rPr>
              <w:t>particle</w:t>
            </w:r>
            <w:proofErr w:type="spellEnd"/>
            <w:r w:rsidRPr="00EE08EB">
              <w:rPr>
                <w:rFonts w:cs="Times New Roman"/>
                <w:lang w:val="fr-FR"/>
              </w:rPr>
              <w:t xml:space="preserve"> dose (FPD</w:t>
            </w:r>
            <w:r w:rsidRPr="00EE08EB">
              <w:rPr>
                <w:rFonts w:cs="Times New Roman"/>
                <w:vertAlign w:val="subscript"/>
                <w:lang w:val="fr-FR"/>
              </w:rPr>
              <w:t>&lt;</w:t>
            </w:r>
            <w:r w:rsidR="00FB4C67">
              <w:rPr>
                <w:rFonts w:cs="Times New Roman"/>
                <w:vertAlign w:val="subscript"/>
                <w:lang w:val="fr-FR"/>
              </w:rPr>
              <w:t>5</w:t>
            </w:r>
            <w:r>
              <w:rPr>
                <w:rFonts w:cs="Times New Roman"/>
                <w:vertAlign w:val="subscript"/>
              </w:rPr>
              <w:t>μ</w:t>
            </w:r>
            <w:r w:rsidRPr="00EE08EB">
              <w:rPr>
                <w:rFonts w:cs="Times New Roman"/>
                <w:vertAlign w:val="subscript"/>
                <w:lang w:val="fr-FR"/>
              </w:rPr>
              <w:t>m</w:t>
            </w:r>
            <w:r w:rsidRPr="00EE08EB">
              <w:rPr>
                <w:rFonts w:cs="Times New Roman"/>
                <w:lang w:val="fr-FR"/>
              </w:rPr>
              <w:t xml:space="preserve">), </w:t>
            </w:r>
            <w:r w:rsidR="00900CE0" w:rsidRPr="00AF366D">
              <w:rPr>
                <w:rFonts w:cs="Times New Roman"/>
                <w:lang w:val="fr-FR"/>
              </w:rPr>
              <w:t>%</w:t>
            </w:r>
          </w:p>
        </w:tc>
        <w:tc>
          <w:tcPr>
            <w:tcW w:w="2268" w:type="dxa"/>
            <w:tcBorders>
              <w:top w:val="nil"/>
              <w:left w:val="nil"/>
              <w:bottom w:val="nil"/>
              <w:right w:val="nil"/>
            </w:tcBorders>
            <w:shd w:val="clear" w:color="auto" w:fill="auto"/>
            <w:vAlign w:val="center"/>
          </w:tcPr>
          <w:p w14:paraId="27F0F89B" w14:textId="77777777" w:rsidR="005543AA" w:rsidRPr="005543AA" w:rsidRDefault="00900CE0" w:rsidP="002A2127">
            <w:pPr>
              <w:ind w:left="-139" w:firstLine="734"/>
              <w:jc w:val="left"/>
              <w:rPr>
                <w:rFonts w:cs="Times New Roman"/>
                <w:color w:val="000000"/>
                <w:szCs w:val="20"/>
              </w:rPr>
            </w:pPr>
            <w:r>
              <w:rPr>
                <w:rFonts w:cs="Times New Roman"/>
                <w:color w:val="000000"/>
                <w:szCs w:val="20"/>
              </w:rPr>
              <w:t>71.8</w:t>
            </w:r>
            <w:r w:rsidR="005543AA">
              <w:rPr>
                <w:rFonts w:cs="Times New Roman"/>
                <w:color w:val="000000"/>
                <w:szCs w:val="20"/>
              </w:rPr>
              <w:t xml:space="preserve"> ± </w:t>
            </w:r>
            <w:r>
              <w:rPr>
                <w:rFonts w:cs="Times New Roman"/>
                <w:color w:val="000000"/>
                <w:szCs w:val="20"/>
              </w:rPr>
              <w:t>2.1</w:t>
            </w:r>
          </w:p>
        </w:tc>
      </w:tr>
      <w:tr w:rsidR="005543AA" w14:paraId="718D1878" w14:textId="77777777" w:rsidTr="004B2CA5">
        <w:trPr>
          <w:trHeight w:hRule="exact" w:val="113"/>
        </w:trPr>
        <w:tc>
          <w:tcPr>
            <w:tcW w:w="2943" w:type="dxa"/>
            <w:tcBorders>
              <w:bottom w:val="single" w:sz="4" w:space="0" w:color="auto"/>
            </w:tcBorders>
          </w:tcPr>
          <w:p w14:paraId="19E70838" w14:textId="77777777" w:rsidR="005543AA" w:rsidRDefault="005543AA" w:rsidP="004B2CA5">
            <w:pPr>
              <w:ind w:left="-139" w:firstLine="139"/>
              <w:rPr>
                <w:rFonts w:cs="Times New Roman"/>
              </w:rPr>
            </w:pPr>
          </w:p>
        </w:tc>
        <w:tc>
          <w:tcPr>
            <w:tcW w:w="2552" w:type="dxa"/>
            <w:gridSpan w:val="2"/>
            <w:tcBorders>
              <w:bottom w:val="single" w:sz="4" w:space="0" w:color="auto"/>
            </w:tcBorders>
          </w:tcPr>
          <w:p w14:paraId="4F32F926" w14:textId="77777777" w:rsidR="005543AA" w:rsidRDefault="005543AA" w:rsidP="004B2CA5">
            <w:pPr>
              <w:ind w:left="-139" w:firstLine="139"/>
              <w:rPr>
                <w:rFonts w:cs="Times New Roman"/>
              </w:rPr>
            </w:pPr>
          </w:p>
        </w:tc>
      </w:tr>
    </w:tbl>
    <w:p w14:paraId="4CF0A27D" w14:textId="77777777" w:rsidR="0069775B" w:rsidRPr="00C33A35" w:rsidRDefault="0069775B" w:rsidP="0069775B">
      <w:pPr>
        <w:rPr>
          <w:rFonts w:cs="Times New Roman"/>
        </w:rPr>
      </w:pPr>
    </w:p>
    <w:p w14:paraId="469668A8" w14:textId="77777777" w:rsidR="0069775B" w:rsidRDefault="0069775B" w:rsidP="0069775B">
      <w:pPr>
        <w:rPr>
          <w:rFonts w:cs="Times New Roman"/>
        </w:rPr>
      </w:pPr>
    </w:p>
    <w:p w14:paraId="1339C74E" w14:textId="77777777" w:rsidR="00E7752A" w:rsidRDefault="00E7752A" w:rsidP="0069775B">
      <w:pPr>
        <w:rPr>
          <w:rFonts w:cs="Times New Roman"/>
        </w:rPr>
      </w:pPr>
    </w:p>
    <w:p w14:paraId="2A9FBFBF" w14:textId="77777777" w:rsidR="00E7752A" w:rsidRDefault="00E7752A" w:rsidP="0069775B">
      <w:pPr>
        <w:rPr>
          <w:rFonts w:cs="Times New Roman"/>
        </w:rPr>
      </w:pPr>
    </w:p>
    <w:p w14:paraId="4D8BD602" w14:textId="77777777" w:rsidR="00E7752A" w:rsidRDefault="00E7752A" w:rsidP="0069775B">
      <w:pPr>
        <w:rPr>
          <w:rFonts w:cs="Times New Roman"/>
        </w:rPr>
      </w:pPr>
    </w:p>
    <w:p w14:paraId="089DD97B" w14:textId="77777777" w:rsidR="00E7752A" w:rsidRPr="00C33A35" w:rsidRDefault="00E7752A" w:rsidP="0069775B">
      <w:pPr>
        <w:rPr>
          <w:rFonts w:cs="Times New Roman"/>
        </w:rPr>
      </w:pPr>
    </w:p>
    <w:p w14:paraId="2AACF37D" w14:textId="77777777" w:rsidR="00FB505B" w:rsidRPr="00C33A35" w:rsidRDefault="00FB505B" w:rsidP="002A2127">
      <w:pPr>
        <w:spacing w:after="120"/>
        <w:rPr>
          <w:rFonts w:cs="Times New Roman"/>
        </w:rPr>
      </w:pPr>
    </w:p>
    <w:p w14:paraId="4805D7E7" w14:textId="77777777" w:rsidR="00785CA6" w:rsidRPr="00C33A35" w:rsidRDefault="00785CA6" w:rsidP="00F35D85">
      <w:pPr>
        <w:jc w:val="center"/>
        <w:outlineLvl w:val="0"/>
        <w:rPr>
          <w:rFonts w:cs="Times New Roman"/>
          <w:b/>
          <w:szCs w:val="20"/>
        </w:rPr>
      </w:pPr>
      <w:r w:rsidRPr="00C33A35">
        <w:rPr>
          <w:rFonts w:cs="Times New Roman"/>
          <w:b/>
          <w:szCs w:val="20"/>
        </w:rPr>
        <w:t>Conclusion</w:t>
      </w:r>
    </w:p>
    <w:p w14:paraId="23389C6D" w14:textId="77777777" w:rsidR="00785CA6" w:rsidRPr="00C33A35" w:rsidRDefault="006350D5" w:rsidP="00785CA6">
      <w:pPr>
        <w:outlineLvl w:val="0"/>
        <w:rPr>
          <w:rFonts w:cs="Times New Roman"/>
          <w:szCs w:val="20"/>
        </w:rPr>
      </w:pPr>
      <w:r w:rsidRPr="00C33A35">
        <w:rPr>
          <w:rFonts w:cs="Times New Roman"/>
          <w:szCs w:val="20"/>
        </w:rPr>
        <w:t>The proposed</w:t>
      </w:r>
      <w:r w:rsidR="00B04126" w:rsidRPr="00C33A35">
        <w:rPr>
          <w:rFonts w:cs="Times New Roman"/>
          <w:szCs w:val="20"/>
        </w:rPr>
        <w:t xml:space="preserve"> HPLC method </w:t>
      </w:r>
      <w:r w:rsidR="00CE0DA9" w:rsidRPr="00C33A35">
        <w:rPr>
          <w:rFonts w:cs="Times New Roman"/>
          <w:szCs w:val="20"/>
        </w:rPr>
        <w:t xml:space="preserve">was </w:t>
      </w:r>
      <w:r w:rsidR="00A26A0C" w:rsidRPr="00C33A35">
        <w:rPr>
          <w:rFonts w:cs="Times New Roman"/>
          <w:szCs w:val="20"/>
        </w:rPr>
        <w:t xml:space="preserve">successfully developed and </w:t>
      </w:r>
      <w:r w:rsidR="00CE0DA9" w:rsidRPr="00C33A35">
        <w:rPr>
          <w:rFonts w:cs="Times New Roman"/>
          <w:szCs w:val="20"/>
        </w:rPr>
        <w:t xml:space="preserve">validated </w:t>
      </w:r>
      <w:r w:rsidR="00A26A0C" w:rsidRPr="00C33A35">
        <w:rPr>
          <w:rFonts w:cs="Times New Roman"/>
          <w:szCs w:val="20"/>
        </w:rPr>
        <w:t>according to</w:t>
      </w:r>
      <w:r w:rsidR="00CE0DA9" w:rsidRPr="00C33A35">
        <w:rPr>
          <w:rFonts w:cs="Times New Roman"/>
          <w:szCs w:val="20"/>
        </w:rPr>
        <w:t xml:space="preserve"> ICH guidelines and was found to </w:t>
      </w:r>
      <w:r w:rsidR="00A26A0C" w:rsidRPr="00C33A35">
        <w:rPr>
          <w:rFonts w:cs="Times New Roman"/>
          <w:szCs w:val="20"/>
        </w:rPr>
        <w:t>fulfill</w:t>
      </w:r>
      <w:r w:rsidR="00CE0DA9" w:rsidRPr="00C33A35">
        <w:rPr>
          <w:rFonts w:cs="Times New Roman"/>
          <w:szCs w:val="20"/>
        </w:rPr>
        <w:t xml:space="preserve"> the </w:t>
      </w:r>
      <w:r w:rsidR="00A26A0C" w:rsidRPr="00C33A35">
        <w:rPr>
          <w:rFonts w:cs="Times New Roman"/>
          <w:szCs w:val="20"/>
        </w:rPr>
        <w:t xml:space="preserve">requirements </w:t>
      </w:r>
      <w:r w:rsidR="00CE0DA9" w:rsidRPr="00C33A35">
        <w:rPr>
          <w:rFonts w:cs="Times New Roman"/>
          <w:szCs w:val="20"/>
        </w:rPr>
        <w:t>and exhibited acceptable values of recovery.</w:t>
      </w:r>
      <w:r w:rsidR="00A26A0C" w:rsidRPr="00C33A35">
        <w:rPr>
          <w:rFonts w:cs="Times New Roman"/>
          <w:szCs w:val="20"/>
        </w:rPr>
        <w:t xml:space="preserve"> The method was found to be simple, fast, precise and highly accurate for analysis of DTX in palm-based nanoemulsion sample and can readily be used </w:t>
      </w:r>
      <w:r w:rsidR="001E78EC">
        <w:rPr>
          <w:rFonts w:cs="Times New Roman"/>
          <w:szCs w:val="20"/>
        </w:rPr>
        <w:t xml:space="preserve">for quantitative analysis of DTX in many studies including </w:t>
      </w:r>
      <w:r w:rsidR="000069BB">
        <w:rPr>
          <w:rFonts w:cs="Times New Roman"/>
          <w:szCs w:val="20"/>
        </w:rPr>
        <w:t xml:space="preserve">stability, </w:t>
      </w:r>
      <w:r w:rsidR="001E78EC">
        <w:rPr>
          <w:rFonts w:cs="Times New Roman"/>
          <w:szCs w:val="20"/>
        </w:rPr>
        <w:t>drug entrapment,</w:t>
      </w:r>
      <w:r w:rsidR="000069BB">
        <w:rPr>
          <w:rFonts w:cs="Times New Roman"/>
          <w:szCs w:val="20"/>
        </w:rPr>
        <w:t xml:space="preserve"> and</w:t>
      </w:r>
      <w:r w:rsidR="001E78EC">
        <w:rPr>
          <w:rFonts w:cs="Times New Roman"/>
          <w:szCs w:val="20"/>
        </w:rPr>
        <w:t xml:space="preserve"> drug release</w:t>
      </w:r>
      <w:r w:rsidR="000069BB">
        <w:rPr>
          <w:rFonts w:cs="Times New Roman"/>
          <w:szCs w:val="20"/>
        </w:rPr>
        <w:t>.</w:t>
      </w:r>
    </w:p>
    <w:p w14:paraId="4DD5BD77" w14:textId="77777777" w:rsidR="003A2A26" w:rsidRPr="00C33A35" w:rsidRDefault="003A2A26" w:rsidP="000069BB">
      <w:pPr>
        <w:outlineLvl w:val="0"/>
        <w:rPr>
          <w:rFonts w:cs="Times New Roman"/>
          <w:szCs w:val="20"/>
        </w:rPr>
      </w:pPr>
    </w:p>
    <w:p w14:paraId="1BD25D18" w14:textId="77777777" w:rsidR="00785CA6" w:rsidRPr="00C33A35" w:rsidRDefault="00785CA6" w:rsidP="00F35D85">
      <w:pPr>
        <w:jc w:val="center"/>
        <w:outlineLvl w:val="0"/>
        <w:rPr>
          <w:rFonts w:cs="Times New Roman"/>
          <w:b/>
          <w:szCs w:val="20"/>
        </w:rPr>
      </w:pPr>
      <w:r w:rsidRPr="00C33A35">
        <w:rPr>
          <w:rFonts w:cs="Times New Roman"/>
          <w:b/>
          <w:szCs w:val="20"/>
        </w:rPr>
        <w:t>Acknowledgement</w:t>
      </w:r>
    </w:p>
    <w:p w14:paraId="704A138B" w14:textId="77777777" w:rsidR="00785CA6" w:rsidRPr="00C33A35" w:rsidRDefault="00F11A7A" w:rsidP="00785CA6">
      <w:pPr>
        <w:outlineLvl w:val="0"/>
        <w:rPr>
          <w:rFonts w:cs="Times New Roman"/>
          <w:szCs w:val="20"/>
        </w:rPr>
      </w:pPr>
      <w:r w:rsidRPr="00C33A35">
        <w:rPr>
          <w:rFonts w:cs="Times New Roman"/>
          <w:szCs w:val="20"/>
        </w:rPr>
        <w:t xml:space="preserve">This work was supported by the Universiti Putra Malaysia (UPM) </w:t>
      </w:r>
      <w:r w:rsidR="002176EE" w:rsidRPr="00C33A35">
        <w:rPr>
          <w:rFonts w:cs="Times New Roman"/>
          <w:szCs w:val="20"/>
        </w:rPr>
        <w:t xml:space="preserve">and LRGS </w:t>
      </w:r>
      <w:proofErr w:type="spellStart"/>
      <w:r w:rsidR="002176EE" w:rsidRPr="00C33A35">
        <w:rPr>
          <w:rFonts w:cs="Times New Roman"/>
          <w:szCs w:val="20"/>
        </w:rPr>
        <w:t>NanoMITe</w:t>
      </w:r>
      <w:proofErr w:type="spellEnd"/>
      <w:r w:rsidR="002176EE" w:rsidRPr="00C33A35">
        <w:rPr>
          <w:rFonts w:cs="Times New Roman"/>
          <w:szCs w:val="20"/>
        </w:rPr>
        <w:t>-Ministry of Higher Education, Malaysia</w:t>
      </w:r>
      <w:r w:rsidRPr="00C33A35">
        <w:rPr>
          <w:rFonts w:cs="Times New Roman"/>
          <w:szCs w:val="20"/>
        </w:rPr>
        <w:t xml:space="preserve"> (RU029-2014/5526306).</w:t>
      </w:r>
      <w:r w:rsidR="002176EE" w:rsidRPr="00C33A35">
        <w:rPr>
          <w:rFonts w:cs="Times New Roman"/>
          <w:szCs w:val="20"/>
        </w:rPr>
        <w:t xml:space="preserve"> </w:t>
      </w:r>
    </w:p>
    <w:p w14:paraId="64DCB3AE" w14:textId="03FF0372" w:rsidR="003A2A26" w:rsidRDefault="003A2A26" w:rsidP="003A2A26">
      <w:pPr>
        <w:jc w:val="center"/>
        <w:outlineLvl w:val="0"/>
        <w:rPr>
          <w:rFonts w:cs="Times New Roman"/>
          <w:b/>
          <w:color w:val="548DD4" w:themeColor="text2" w:themeTint="99"/>
          <w:szCs w:val="20"/>
        </w:rPr>
      </w:pPr>
    </w:p>
    <w:p w14:paraId="6933E31C" w14:textId="069C99F1" w:rsidR="00FC605B" w:rsidRDefault="00FC605B" w:rsidP="003A2A26">
      <w:pPr>
        <w:jc w:val="center"/>
        <w:outlineLvl w:val="0"/>
        <w:rPr>
          <w:rFonts w:cs="Times New Roman"/>
          <w:b/>
          <w:color w:val="548DD4" w:themeColor="text2" w:themeTint="99"/>
          <w:szCs w:val="20"/>
        </w:rPr>
      </w:pPr>
    </w:p>
    <w:p w14:paraId="40CA7430" w14:textId="77777777" w:rsidR="00FC605B" w:rsidRPr="00C33A35" w:rsidRDefault="00FC605B" w:rsidP="003A2A26">
      <w:pPr>
        <w:jc w:val="center"/>
        <w:outlineLvl w:val="0"/>
        <w:rPr>
          <w:rFonts w:cs="Times New Roman"/>
          <w:b/>
          <w:color w:val="548DD4" w:themeColor="text2" w:themeTint="99"/>
          <w:szCs w:val="20"/>
        </w:rPr>
      </w:pPr>
    </w:p>
    <w:p w14:paraId="01E6018B" w14:textId="77777777" w:rsidR="00785CA6" w:rsidRPr="00FB505B" w:rsidRDefault="00785CA6" w:rsidP="00F35D85">
      <w:pPr>
        <w:jc w:val="center"/>
        <w:outlineLvl w:val="0"/>
        <w:rPr>
          <w:rFonts w:cs="Times New Roman"/>
          <w:b/>
          <w:szCs w:val="20"/>
        </w:rPr>
      </w:pPr>
      <w:r w:rsidRPr="00E570AF">
        <w:rPr>
          <w:rFonts w:cs="Times New Roman"/>
          <w:b/>
          <w:szCs w:val="20"/>
        </w:rPr>
        <w:lastRenderedPageBreak/>
        <w:t>References</w:t>
      </w:r>
    </w:p>
    <w:p w14:paraId="29618219" w14:textId="77777777" w:rsidR="00FC605B" w:rsidRDefault="006372CC" w:rsidP="00FC605B">
      <w:pPr>
        <w:pStyle w:val="ListParagraph"/>
        <w:numPr>
          <w:ilvl w:val="0"/>
          <w:numId w:val="2"/>
        </w:numPr>
        <w:tabs>
          <w:tab w:val="left" w:pos="0"/>
        </w:tabs>
        <w:adjustRightInd w:val="0"/>
        <w:ind w:left="567" w:hanging="567"/>
        <w:rPr>
          <w:rFonts w:cs="Times New Roman"/>
          <w:noProof/>
          <w:szCs w:val="24"/>
        </w:rPr>
      </w:pPr>
      <w:r w:rsidRPr="00E502EF">
        <w:rPr>
          <w:rFonts w:cs="Times New Roman"/>
          <w:bCs/>
          <w:color w:val="548DD4" w:themeColor="text2" w:themeTint="99"/>
          <w:szCs w:val="20"/>
        </w:rPr>
        <w:fldChar w:fldCharType="begin" w:fldLock="1"/>
      </w:r>
      <w:r w:rsidRPr="00E502EF">
        <w:rPr>
          <w:rFonts w:cs="Times New Roman"/>
          <w:bCs/>
          <w:color w:val="548DD4" w:themeColor="text2" w:themeTint="99"/>
          <w:szCs w:val="20"/>
        </w:rPr>
        <w:instrText xml:space="preserve">ADDIN Mendeley Bibliography CSL_BIBLIOGRAPHY </w:instrText>
      </w:r>
      <w:r w:rsidRPr="00E502EF">
        <w:rPr>
          <w:rFonts w:cs="Times New Roman"/>
          <w:bCs/>
          <w:color w:val="548DD4" w:themeColor="text2" w:themeTint="99"/>
          <w:szCs w:val="20"/>
        </w:rPr>
        <w:fldChar w:fldCharType="separate"/>
      </w:r>
      <w:r w:rsidRPr="00E502EF">
        <w:rPr>
          <w:rFonts w:cs="Times New Roman"/>
          <w:noProof/>
          <w:szCs w:val="24"/>
        </w:rPr>
        <w:t xml:space="preserve">Gubens, M. A. and  Wakelee, H. A. (2010). Docetaxel </w:t>
      </w:r>
      <w:r w:rsidR="00FC605B" w:rsidRPr="00E502EF">
        <w:rPr>
          <w:rFonts w:cs="Times New Roman"/>
          <w:noProof/>
          <w:szCs w:val="24"/>
        </w:rPr>
        <w:t xml:space="preserve">in the treatment of non-small cell lung carcinoma: an update and analysis. </w:t>
      </w:r>
      <w:r w:rsidRPr="00E502EF">
        <w:rPr>
          <w:rFonts w:cs="Times New Roman"/>
          <w:i/>
          <w:noProof/>
          <w:szCs w:val="24"/>
        </w:rPr>
        <w:t>Lung Cancer (Auckland)</w:t>
      </w:r>
      <w:r w:rsidRPr="00E502EF">
        <w:rPr>
          <w:rFonts w:cs="Times New Roman"/>
          <w:noProof/>
          <w:szCs w:val="24"/>
        </w:rPr>
        <w:t>, 1: 63</w:t>
      </w:r>
      <w:r w:rsidR="00FC605B">
        <w:rPr>
          <w:rFonts w:cs="Times New Roman"/>
          <w:noProof/>
          <w:szCs w:val="24"/>
        </w:rPr>
        <w:t>-</w:t>
      </w:r>
      <w:r w:rsidRPr="00E502EF">
        <w:rPr>
          <w:rFonts w:cs="Times New Roman"/>
          <w:noProof/>
          <w:szCs w:val="24"/>
        </w:rPr>
        <w:t xml:space="preserve">76. </w:t>
      </w:r>
    </w:p>
    <w:p w14:paraId="55AF2A18" w14:textId="77777777" w:rsidR="00FC605B" w:rsidRDefault="006372CC" w:rsidP="00FC605B">
      <w:pPr>
        <w:pStyle w:val="ListParagraph"/>
        <w:numPr>
          <w:ilvl w:val="0"/>
          <w:numId w:val="2"/>
        </w:numPr>
        <w:tabs>
          <w:tab w:val="left" w:pos="0"/>
        </w:tabs>
        <w:adjustRightInd w:val="0"/>
        <w:ind w:left="567" w:hanging="567"/>
        <w:rPr>
          <w:rFonts w:cs="Times New Roman"/>
          <w:noProof/>
          <w:szCs w:val="24"/>
        </w:rPr>
      </w:pPr>
      <w:r w:rsidRPr="00FC605B">
        <w:rPr>
          <w:rFonts w:cs="Times New Roman"/>
          <w:noProof/>
          <w:szCs w:val="24"/>
        </w:rPr>
        <w:t xml:space="preserve">Varshosaz, J., Taymouri, S., Hassanzadeh, F., Javanmard, S. H. and Rostami, M. (2015). Self-assembly </w:t>
      </w:r>
      <w:r w:rsidR="00FC605B" w:rsidRPr="00FC605B">
        <w:rPr>
          <w:rFonts w:cs="Times New Roman"/>
          <w:noProof/>
          <w:szCs w:val="24"/>
        </w:rPr>
        <w:t>micelles with lipid core of cholesterol for docetaxel delivery to</w:t>
      </w:r>
      <w:r w:rsidRPr="00FC605B">
        <w:rPr>
          <w:rFonts w:cs="Times New Roman"/>
          <w:noProof/>
          <w:szCs w:val="24"/>
        </w:rPr>
        <w:t xml:space="preserve"> B16F10 </w:t>
      </w:r>
      <w:r w:rsidR="00FC605B" w:rsidRPr="00FC605B">
        <w:rPr>
          <w:rFonts w:cs="Times New Roman"/>
          <w:noProof/>
          <w:szCs w:val="24"/>
        </w:rPr>
        <w:t>melanoma and</w:t>
      </w:r>
      <w:r w:rsidRPr="00FC605B">
        <w:rPr>
          <w:rFonts w:cs="Times New Roman"/>
          <w:noProof/>
          <w:szCs w:val="24"/>
        </w:rPr>
        <w:t xml:space="preserve"> Hepg2 </w:t>
      </w:r>
      <w:r w:rsidR="00FC605B">
        <w:rPr>
          <w:rFonts w:cs="Times New Roman"/>
          <w:noProof/>
          <w:szCs w:val="24"/>
        </w:rPr>
        <w:t>c</w:t>
      </w:r>
      <w:r w:rsidRPr="00FC605B">
        <w:rPr>
          <w:rFonts w:cs="Times New Roman"/>
          <w:noProof/>
          <w:szCs w:val="24"/>
        </w:rPr>
        <w:t xml:space="preserve">ells. </w:t>
      </w:r>
      <w:r w:rsidRPr="00FC605B">
        <w:rPr>
          <w:rFonts w:cs="Times New Roman"/>
          <w:i/>
          <w:noProof/>
          <w:szCs w:val="24"/>
        </w:rPr>
        <w:t>Journal of Liposome Research</w:t>
      </w:r>
      <w:r w:rsidRPr="00FC605B">
        <w:rPr>
          <w:rFonts w:cs="Times New Roman"/>
          <w:noProof/>
          <w:szCs w:val="24"/>
        </w:rPr>
        <w:t>, 25(2): 157-165.</w:t>
      </w:r>
    </w:p>
    <w:p w14:paraId="512737E9" w14:textId="77777777" w:rsidR="00FC605B" w:rsidRDefault="006372CC" w:rsidP="00FC605B">
      <w:pPr>
        <w:pStyle w:val="ListParagraph"/>
        <w:numPr>
          <w:ilvl w:val="0"/>
          <w:numId w:val="2"/>
        </w:numPr>
        <w:tabs>
          <w:tab w:val="left" w:pos="0"/>
        </w:tabs>
        <w:adjustRightInd w:val="0"/>
        <w:ind w:left="567" w:hanging="567"/>
        <w:rPr>
          <w:rFonts w:cs="Times New Roman"/>
          <w:noProof/>
          <w:szCs w:val="24"/>
        </w:rPr>
      </w:pPr>
      <w:r w:rsidRPr="00FC605B">
        <w:rPr>
          <w:rFonts w:cs="Times New Roman"/>
          <w:noProof/>
          <w:szCs w:val="24"/>
        </w:rPr>
        <w:t xml:space="preserve">Zhang, L., Tan, L., Chen, L., Chen, X., Long, C., Peng, J. and Qian, Z. (2016).  A </w:t>
      </w:r>
      <w:r w:rsidR="00FC605B" w:rsidRPr="00FC605B">
        <w:rPr>
          <w:rFonts w:cs="Times New Roman"/>
          <w:noProof/>
          <w:szCs w:val="24"/>
        </w:rPr>
        <w:t xml:space="preserve">simple method to improve the stability of docetaxel micelles. </w:t>
      </w:r>
      <w:r w:rsidRPr="00FC605B">
        <w:rPr>
          <w:rFonts w:cs="Times New Roman"/>
          <w:i/>
          <w:noProof/>
          <w:szCs w:val="24"/>
        </w:rPr>
        <w:t>Scientific Reports - Nature</w:t>
      </w:r>
      <w:r w:rsidRPr="00FC605B">
        <w:rPr>
          <w:rFonts w:cs="Times New Roman"/>
          <w:noProof/>
          <w:szCs w:val="24"/>
        </w:rPr>
        <w:t>, 6 (36957): 1-10.</w:t>
      </w:r>
    </w:p>
    <w:p w14:paraId="5D46833A" w14:textId="77777777" w:rsidR="00FC605B" w:rsidRDefault="006372CC" w:rsidP="00FC605B">
      <w:pPr>
        <w:pStyle w:val="ListParagraph"/>
        <w:numPr>
          <w:ilvl w:val="0"/>
          <w:numId w:val="2"/>
        </w:numPr>
        <w:tabs>
          <w:tab w:val="left" w:pos="0"/>
        </w:tabs>
        <w:adjustRightInd w:val="0"/>
        <w:ind w:left="567" w:hanging="567"/>
        <w:rPr>
          <w:rFonts w:cs="Times New Roman"/>
          <w:noProof/>
          <w:szCs w:val="24"/>
        </w:rPr>
      </w:pPr>
      <w:r w:rsidRPr="00FC605B">
        <w:rPr>
          <w:rFonts w:cs="Times New Roman"/>
          <w:noProof/>
          <w:szCs w:val="24"/>
        </w:rPr>
        <w:t xml:space="preserve">Liu, Z., Liu, D., Wang, L., Zhang, J. and Zhang, N. (2011). Docetaxel-loaded Pluronic P123 </w:t>
      </w:r>
      <w:r w:rsidR="00FC605B" w:rsidRPr="00FC605B">
        <w:rPr>
          <w:rFonts w:cs="Times New Roman"/>
          <w:noProof/>
          <w:szCs w:val="24"/>
        </w:rPr>
        <w:t>polymeric micelles: in vitro and in vivo evaluation.</w:t>
      </w:r>
      <w:r w:rsidRPr="00FC605B">
        <w:rPr>
          <w:rFonts w:cs="Times New Roman"/>
          <w:noProof/>
          <w:szCs w:val="24"/>
        </w:rPr>
        <w:t xml:space="preserve"> </w:t>
      </w:r>
      <w:r w:rsidRPr="00FC605B">
        <w:rPr>
          <w:rFonts w:cs="Times New Roman"/>
          <w:i/>
          <w:noProof/>
          <w:szCs w:val="24"/>
        </w:rPr>
        <w:t>International Journal of Molecular Sciences</w:t>
      </w:r>
      <w:r w:rsidRPr="00FC605B">
        <w:rPr>
          <w:rFonts w:cs="Times New Roman"/>
          <w:noProof/>
          <w:szCs w:val="24"/>
        </w:rPr>
        <w:t xml:space="preserve">, 12(3): 1684- 1696. </w:t>
      </w:r>
    </w:p>
    <w:p w14:paraId="08A602FA" w14:textId="77777777" w:rsidR="00FC605B" w:rsidRDefault="006372CC" w:rsidP="00FC605B">
      <w:pPr>
        <w:pStyle w:val="ListParagraph"/>
        <w:numPr>
          <w:ilvl w:val="0"/>
          <w:numId w:val="2"/>
        </w:numPr>
        <w:tabs>
          <w:tab w:val="left" w:pos="0"/>
        </w:tabs>
        <w:adjustRightInd w:val="0"/>
        <w:ind w:left="567" w:hanging="567"/>
        <w:rPr>
          <w:rFonts w:cs="Times New Roman"/>
          <w:noProof/>
          <w:szCs w:val="24"/>
        </w:rPr>
      </w:pPr>
      <w:r w:rsidRPr="00FC605B">
        <w:rPr>
          <w:rFonts w:cs="Times New Roman"/>
          <w:noProof/>
          <w:szCs w:val="24"/>
        </w:rPr>
        <w:t xml:space="preserve">Nesamony, J., Shah, I. S., Kalra, A. and Jung, R. (2014). Nebulized </w:t>
      </w:r>
      <w:r w:rsidR="00FC605B" w:rsidRPr="00FC605B">
        <w:rPr>
          <w:rFonts w:cs="Times New Roman"/>
          <w:noProof/>
          <w:szCs w:val="24"/>
        </w:rPr>
        <w:t xml:space="preserve">oil-in-water nanoemulsion mists for pulmonary delivery: </w:t>
      </w:r>
      <w:r w:rsidR="00FC605B">
        <w:rPr>
          <w:rFonts w:cs="Times New Roman"/>
          <w:noProof/>
          <w:szCs w:val="24"/>
        </w:rPr>
        <w:t>D</w:t>
      </w:r>
      <w:r w:rsidR="00FC605B" w:rsidRPr="00FC605B">
        <w:rPr>
          <w:rFonts w:cs="Times New Roman"/>
          <w:noProof/>
          <w:szCs w:val="24"/>
        </w:rPr>
        <w:t>evelopment, physico-chemical characterization and in vitro evaluation</w:t>
      </w:r>
      <w:r w:rsidRPr="00FC605B">
        <w:rPr>
          <w:rFonts w:cs="Times New Roman"/>
          <w:noProof/>
          <w:szCs w:val="24"/>
        </w:rPr>
        <w:t xml:space="preserve">. </w:t>
      </w:r>
      <w:r w:rsidRPr="00FC605B">
        <w:rPr>
          <w:rFonts w:cs="Times New Roman"/>
          <w:i/>
          <w:noProof/>
          <w:szCs w:val="24"/>
        </w:rPr>
        <w:t>Drug Development and Industrial Pharmacy</w:t>
      </w:r>
      <w:r w:rsidRPr="00FC605B">
        <w:rPr>
          <w:rFonts w:cs="Times New Roman"/>
          <w:noProof/>
          <w:szCs w:val="24"/>
        </w:rPr>
        <w:t>, 40(9): 1253-1263.</w:t>
      </w:r>
    </w:p>
    <w:p w14:paraId="273290A2" w14:textId="77777777" w:rsidR="00FC605B" w:rsidRDefault="006372CC" w:rsidP="00FC605B">
      <w:pPr>
        <w:pStyle w:val="ListParagraph"/>
        <w:numPr>
          <w:ilvl w:val="0"/>
          <w:numId w:val="2"/>
        </w:numPr>
        <w:tabs>
          <w:tab w:val="left" w:pos="0"/>
        </w:tabs>
        <w:adjustRightInd w:val="0"/>
        <w:ind w:left="567" w:hanging="567"/>
        <w:rPr>
          <w:rFonts w:cs="Times New Roman"/>
          <w:noProof/>
          <w:szCs w:val="24"/>
        </w:rPr>
      </w:pPr>
      <w:r w:rsidRPr="00FC605B">
        <w:rPr>
          <w:rFonts w:cs="Times New Roman"/>
          <w:noProof/>
          <w:szCs w:val="24"/>
        </w:rPr>
        <w:t xml:space="preserve">Xia, D., Sun, W. K., Tan, M. M., Zhang, M., Ding, Y., Liu, Z. C., Su, X. and Shi, Y. (2015). Aerosolized </w:t>
      </w:r>
      <w:r w:rsidR="00FC605B">
        <w:rPr>
          <w:rFonts w:cs="Times New Roman"/>
          <w:noProof/>
          <w:szCs w:val="24"/>
        </w:rPr>
        <w:t>a</w:t>
      </w:r>
      <w:r w:rsidRPr="00FC605B">
        <w:rPr>
          <w:rFonts w:cs="Times New Roman"/>
          <w:noProof/>
          <w:szCs w:val="24"/>
        </w:rPr>
        <w:t>mphotericin B a</w:t>
      </w:r>
      <w:r w:rsidR="00FC605B" w:rsidRPr="00FC605B">
        <w:rPr>
          <w:rFonts w:cs="Times New Roman"/>
          <w:noProof/>
          <w:szCs w:val="24"/>
        </w:rPr>
        <w:t>s prophylaxis for invasive pulmonary aspergillosis</w:t>
      </w:r>
      <w:r w:rsidRPr="00FC605B">
        <w:rPr>
          <w:rFonts w:cs="Times New Roman"/>
          <w:noProof/>
          <w:szCs w:val="24"/>
        </w:rPr>
        <w:t xml:space="preserve">: A </w:t>
      </w:r>
      <w:r w:rsidR="00FC605B" w:rsidRPr="00FC605B">
        <w:rPr>
          <w:rFonts w:cs="Times New Roman"/>
          <w:noProof/>
          <w:szCs w:val="24"/>
        </w:rPr>
        <w:t>meta-analysis.</w:t>
      </w:r>
      <w:r w:rsidRPr="00FC605B">
        <w:rPr>
          <w:rFonts w:cs="Times New Roman"/>
          <w:noProof/>
          <w:szCs w:val="24"/>
        </w:rPr>
        <w:t xml:space="preserve"> </w:t>
      </w:r>
      <w:r w:rsidRPr="00FC605B">
        <w:rPr>
          <w:rFonts w:cs="Times New Roman"/>
          <w:i/>
          <w:noProof/>
          <w:szCs w:val="24"/>
        </w:rPr>
        <w:t>International Journal of Infectious Diseases</w:t>
      </w:r>
      <w:r w:rsidRPr="00FC605B">
        <w:rPr>
          <w:rFonts w:cs="Times New Roman"/>
          <w:noProof/>
          <w:szCs w:val="24"/>
        </w:rPr>
        <w:t xml:space="preserve">, 30: 78-84. </w:t>
      </w:r>
    </w:p>
    <w:p w14:paraId="52B4F0A8" w14:textId="77777777" w:rsidR="00FC605B" w:rsidRDefault="006372CC" w:rsidP="00FC605B">
      <w:pPr>
        <w:pStyle w:val="ListParagraph"/>
        <w:numPr>
          <w:ilvl w:val="0"/>
          <w:numId w:val="2"/>
        </w:numPr>
        <w:tabs>
          <w:tab w:val="left" w:pos="0"/>
        </w:tabs>
        <w:adjustRightInd w:val="0"/>
        <w:ind w:left="567" w:hanging="567"/>
        <w:rPr>
          <w:rFonts w:cs="Times New Roman"/>
          <w:noProof/>
          <w:szCs w:val="24"/>
        </w:rPr>
      </w:pPr>
      <w:r w:rsidRPr="00FC605B">
        <w:rPr>
          <w:rFonts w:cs="Times New Roman"/>
          <w:noProof/>
          <w:szCs w:val="24"/>
        </w:rPr>
        <w:t>Ngan C. L. and Asmawi, A. A. (2018). Lipid-</w:t>
      </w:r>
      <w:r w:rsidR="00FC605B" w:rsidRPr="00FC605B">
        <w:rPr>
          <w:rFonts w:cs="Times New Roman"/>
          <w:noProof/>
          <w:szCs w:val="24"/>
        </w:rPr>
        <w:t>based pulmonary delivery system</w:t>
      </w:r>
      <w:r w:rsidRPr="00FC605B">
        <w:rPr>
          <w:rFonts w:cs="Times New Roman"/>
          <w:noProof/>
          <w:szCs w:val="24"/>
        </w:rPr>
        <w:t xml:space="preserve">: A </w:t>
      </w:r>
      <w:r w:rsidR="00FC605B" w:rsidRPr="00FC605B">
        <w:rPr>
          <w:rFonts w:cs="Times New Roman"/>
          <w:noProof/>
          <w:szCs w:val="24"/>
        </w:rPr>
        <w:t xml:space="preserve">review and future considerations of formulation strategies and limitations. </w:t>
      </w:r>
      <w:r w:rsidRPr="00FC605B">
        <w:rPr>
          <w:rFonts w:cs="Times New Roman"/>
          <w:i/>
          <w:noProof/>
          <w:szCs w:val="24"/>
        </w:rPr>
        <w:t>Drug Delivery and Translational Research</w:t>
      </w:r>
      <w:r w:rsidRPr="00FC605B">
        <w:rPr>
          <w:rFonts w:cs="Times New Roman"/>
          <w:noProof/>
          <w:szCs w:val="24"/>
        </w:rPr>
        <w:t>, 8 (5): 1527-1544.</w:t>
      </w:r>
    </w:p>
    <w:p w14:paraId="2BC957E8" w14:textId="77777777" w:rsidR="008B6259" w:rsidRDefault="006372CC" w:rsidP="008B6259">
      <w:pPr>
        <w:pStyle w:val="ListParagraph"/>
        <w:numPr>
          <w:ilvl w:val="0"/>
          <w:numId w:val="2"/>
        </w:numPr>
        <w:tabs>
          <w:tab w:val="left" w:pos="0"/>
        </w:tabs>
        <w:adjustRightInd w:val="0"/>
        <w:ind w:left="567" w:hanging="567"/>
        <w:rPr>
          <w:rFonts w:cs="Times New Roman"/>
          <w:noProof/>
          <w:szCs w:val="24"/>
        </w:rPr>
      </w:pPr>
      <w:r w:rsidRPr="00FC605B">
        <w:rPr>
          <w:rFonts w:cs="Times New Roman"/>
          <w:noProof/>
          <w:szCs w:val="24"/>
        </w:rPr>
        <w:t xml:space="preserve">Keng, P. S., Basri, M., Zakaria, M. R. S., Rahman, M. B. A., Ariff, A. B., Rahman, R. N. Z. A. and Salleh, A. B. (2009). Newly </w:t>
      </w:r>
      <w:r w:rsidR="00FC605B" w:rsidRPr="00FC605B">
        <w:rPr>
          <w:rFonts w:cs="Times New Roman"/>
          <w:noProof/>
          <w:szCs w:val="24"/>
        </w:rPr>
        <w:t>synthesized palm esters for cosmetics industry</w:t>
      </w:r>
      <w:r w:rsidRPr="00FC605B">
        <w:rPr>
          <w:rFonts w:cs="Times New Roman"/>
          <w:noProof/>
          <w:szCs w:val="24"/>
        </w:rPr>
        <w:t xml:space="preserve">. </w:t>
      </w:r>
      <w:r w:rsidRPr="00FC605B">
        <w:rPr>
          <w:rFonts w:cs="Times New Roman"/>
          <w:i/>
          <w:noProof/>
          <w:szCs w:val="24"/>
        </w:rPr>
        <w:t>Industrial Crops and Products</w:t>
      </w:r>
      <w:r w:rsidRPr="00FC605B">
        <w:rPr>
          <w:rFonts w:cs="Times New Roman"/>
          <w:noProof/>
          <w:szCs w:val="24"/>
        </w:rPr>
        <w:t xml:space="preserve">, 29(1): 37-44. </w:t>
      </w:r>
    </w:p>
    <w:p w14:paraId="47997A0E" w14:textId="77777777" w:rsidR="008B6259" w:rsidRDefault="006372CC" w:rsidP="008B6259">
      <w:pPr>
        <w:pStyle w:val="ListParagraph"/>
        <w:numPr>
          <w:ilvl w:val="0"/>
          <w:numId w:val="2"/>
        </w:numPr>
        <w:tabs>
          <w:tab w:val="left" w:pos="0"/>
        </w:tabs>
        <w:adjustRightInd w:val="0"/>
        <w:ind w:left="567" w:hanging="567"/>
        <w:rPr>
          <w:rFonts w:cs="Times New Roman"/>
          <w:noProof/>
          <w:szCs w:val="24"/>
        </w:rPr>
      </w:pPr>
      <w:r w:rsidRPr="008B6259">
        <w:rPr>
          <w:rFonts w:cs="Times New Roman"/>
          <w:noProof/>
          <w:szCs w:val="24"/>
        </w:rPr>
        <w:t xml:space="preserve">Che, H. L., Tan, D. M. Y., Meganathan, P., Gan, Y. L., Abdul Razak, G. and Fu, J. Y. (2015). Validation of a HPLC/FLD </w:t>
      </w:r>
      <w:r w:rsidR="008B6259" w:rsidRPr="008B6259">
        <w:rPr>
          <w:rFonts w:cs="Times New Roman"/>
          <w:noProof/>
          <w:szCs w:val="24"/>
        </w:rPr>
        <w:t>method for quantification of tocotrienols in human plasma</w:t>
      </w:r>
      <w:r w:rsidRPr="008B6259">
        <w:rPr>
          <w:rFonts w:cs="Times New Roman"/>
          <w:noProof/>
          <w:szCs w:val="24"/>
        </w:rPr>
        <w:t xml:space="preserve">. </w:t>
      </w:r>
      <w:r w:rsidRPr="008B6259">
        <w:rPr>
          <w:rFonts w:cs="Times New Roman"/>
          <w:i/>
          <w:noProof/>
          <w:szCs w:val="24"/>
        </w:rPr>
        <w:t>International Journal of Analytical Chemistry</w:t>
      </w:r>
      <w:r w:rsidRPr="008B6259">
        <w:rPr>
          <w:rFonts w:cs="Times New Roman"/>
          <w:noProof/>
          <w:szCs w:val="24"/>
        </w:rPr>
        <w:t>, 2015: 1-7.</w:t>
      </w:r>
    </w:p>
    <w:p w14:paraId="36FD6948" w14:textId="77777777" w:rsidR="008B6259" w:rsidRDefault="006372CC" w:rsidP="008B6259">
      <w:pPr>
        <w:pStyle w:val="ListParagraph"/>
        <w:numPr>
          <w:ilvl w:val="0"/>
          <w:numId w:val="2"/>
        </w:numPr>
        <w:tabs>
          <w:tab w:val="left" w:pos="0"/>
        </w:tabs>
        <w:adjustRightInd w:val="0"/>
        <w:ind w:left="567" w:hanging="567"/>
        <w:rPr>
          <w:rFonts w:cs="Times New Roman"/>
          <w:noProof/>
          <w:szCs w:val="24"/>
        </w:rPr>
      </w:pPr>
      <w:r w:rsidRPr="008B6259">
        <w:rPr>
          <w:rFonts w:cs="Times New Roman"/>
          <w:noProof/>
          <w:szCs w:val="24"/>
        </w:rPr>
        <w:t>Le, T. H. H., Phung, T. H. and Le, D. C. (2019). Development a</w:t>
      </w:r>
      <w:r w:rsidR="008B6259" w:rsidRPr="008B6259">
        <w:rPr>
          <w:rFonts w:cs="Times New Roman"/>
          <w:noProof/>
          <w:szCs w:val="24"/>
        </w:rPr>
        <w:t>nd validation of an</w:t>
      </w:r>
      <w:r w:rsidRPr="008B6259">
        <w:rPr>
          <w:rFonts w:cs="Times New Roman"/>
          <w:noProof/>
          <w:szCs w:val="24"/>
        </w:rPr>
        <w:t xml:space="preserve"> HPLC </w:t>
      </w:r>
      <w:r w:rsidR="008B6259" w:rsidRPr="008B6259">
        <w:rPr>
          <w:rFonts w:cs="Times New Roman"/>
          <w:noProof/>
          <w:szCs w:val="24"/>
        </w:rPr>
        <w:t xml:space="preserve">method for simultaneous assay of potassium guaiacolsulfonate and sodium benzoate in pediatric oral powder. </w:t>
      </w:r>
      <w:r w:rsidRPr="008B6259">
        <w:rPr>
          <w:rFonts w:cs="Times New Roman"/>
          <w:i/>
          <w:noProof/>
          <w:szCs w:val="24"/>
        </w:rPr>
        <w:t>International Journal of Analytical Chemistry</w:t>
      </w:r>
      <w:r w:rsidRPr="008B6259">
        <w:rPr>
          <w:rFonts w:cs="Times New Roman"/>
          <w:noProof/>
          <w:szCs w:val="24"/>
        </w:rPr>
        <w:t>, 2019: 1-9.</w:t>
      </w:r>
    </w:p>
    <w:p w14:paraId="5F13DB95" w14:textId="77777777" w:rsidR="008B6259" w:rsidRDefault="006372CC" w:rsidP="008B6259">
      <w:pPr>
        <w:pStyle w:val="ListParagraph"/>
        <w:numPr>
          <w:ilvl w:val="0"/>
          <w:numId w:val="2"/>
        </w:numPr>
        <w:tabs>
          <w:tab w:val="left" w:pos="0"/>
        </w:tabs>
        <w:adjustRightInd w:val="0"/>
        <w:ind w:left="567" w:hanging="567"/>
        <w:rPr>
          <w:rFonts w:cs="Times New Roman"/>
          <w:noProof/>
          <w:szCs w:val="24"/>
        </w:rPr>
      </w:pPr>
      <w:r w:rsidRPr="008B6259">
        <w:rPr>
          <w:rFonts w:cs="Times New Roman"/>
          <w:noProof/>
          <w:szCs w:val="24"/>
        </w:rPr>
        <w:t xml:space="preserve">Shah, K., Chan, L. W. and Wong, T. W. (2017). Critical </w:t>
      </w:r>
      <w:r w:rsidR="008B6259" w:rsidRPr="008B6259">
        <w:rPr>
          <w:rFonts w:cs="Times New Roman"/>
          <w:noProof/>
          <w:szCs w:val="24"/>
        </w:rPr>
        <w:t>physicochemical and biological attributes of nanoemulsions for pulmonary delivery of rifampicin by nebulization technique in tub</w:t>
      </w:r>
      <w:r w:rsidRPr="008B6259">
        <w:rPr>
          <w:rFonts w:cs="Times New Roman"/>
          <w:noProof/>
          <w:szCs w:val="24"/>
        </w:rPr>
        <w:t xml:space="preserve">erculosis </w:t>
      </w:r>
      <w:r w:rsidR="008B6259">
        <w:rPr>
          <w:rFonts w:cs="Times New Roman"/>
          <w:noProof/>
          <w:szCs w:val="24"/>
        </w:rPr>
        <w:t>t</w:t>
      </w:r>
      <w:r w:rsidRPr="008B6259">
        <w:rPr>
          <w:rFonts w:cs="Times New Roman"/>
          <w:noProof/>
          <w:szCs w:val="24"/>
        </w:rPr>
        <w:t xml:space="preserve">reatment. </w:t>
      </w:r>
      <w:r w:rsidRPr="008B6259">
        <w:rPr>
          <w:rFonts w:cs="Times New Roman"/>
          <w:i/>
          <w:noProof/>
          <w:szCs w:val="24"/>
        </w:rPr>
        <w:t>Drug Delivery</w:t>
      </w:r>
      <w:r w:rsidRPr="008B6259">
        <w:rPr>
          <w:rFonts w:cs="Times New Roman"/>
          <w:noProof/>
          <w:szCs w:val="24"/>
        </w:rPr>
        <w:t xml:space="preserve">, 24(1): 1631-1647. </w:t>
      </w:r>
    </w:p>
    <w:p w14:paraId="3964F18D" w14:textId="77777777" w:rsidR="008B6259" w:rsidRDefault="006372CC" w:rsidP="008B6259">
      <w:pPr>
        <w:pStyle w:val="ListParagraph"/>
        <w:numPr>
          <w:ilvl w:val="0"/>
          <w:numId w:val="2"/>
        </w:numPr>
        <w:tabs>
          <w:tab w:val="left" w:pos="0"/>
        </w:tabs>
        <w:adjustRightInd w:val="0"/>
        <w:ind w:left="567" w:hanging="567"/>
        <w:rPr>
          <w:rFonts w:cs="Times New Roman"/>
          <w:noProof/>
          <w:szCs w:val="24"/>
        </w:rPr>
      </w:pPr>
      <w:r w:rsidRPr="008B6259">
        <w:rPr>
          <w:rFonts w:cs="Times New Roman"/>
          <w:noProof/>
          <w:szCs w:val="24"/>
        </w:rPr>
        <w:t xml:space="preserve">Shin, S. W., Song, I. H. and Um, S. H. (2015). Role </w:t>
      </w:r>
      <w:r w:rsidR="008B6259" w:rsidRPr="008B6259">
        <w:rPr>
          <w:rFonts w:cs="Times New Roman"/>
          <w:noProof/>
          <w:szCs w:val="24"/>
        </w:rPr>
        <w:t xml:space="preserve">of physicochemical properties in nanoparticle toxicity. </w:t>
      </w:r>
      <w:r w:rsidRPr="008B6259">
        <w:rPr>
          <w:rFonts w:cs="Times New Roman"/>
          <w:i/>
          <w:noProof/>
          <w:szCs w:val="24"/>
        </w:rPr>
        <w:t>Nanomaterials</w:t>
      </w:r>
      <w:r w:rsidRPr="008B6259">
        <w:rPr>
          <w:rFonts w:cs="Times New Roman"/>
          <w:noProof/>
          <w:szCs w:val="24"/>
        </w:rPr>
        <w:t>, 5(3): 1351-1365.</w:t>
      </w:r>
    </w:p>
    <w:p w14:paraId="20749D8E" w14:textId="40B75B33" w:rsidR="006372CC" w:rsidRPr="008B6259" w:rsidRDefault="006372CC" w:rsidP="008B6259">
      <w:pPr>
        <w:pStyle w:val="ListParagraph"/>
        <w:numPr>
          <w:ilvl w:val="0"/>
          <w:numId w:val="2"/>
        </w:numPr>
        <w:tabs>
          <w:tab w:val="left" w:pos="0"/>
        </w:tabs>
        <w:adjustRightInd w:val="0"/>
        <w:ind w:left="567" w:hanging="567"/>
        <w:rPr>
          <w:rFonts w:cs="Times New Roman"/>
          <w:noProof/>
          <w:szCs w:val="24"/>
        </w:rPr>
      </w:pPr>
      <w:r w:rsidRPr="008B6259">
        <w:rPr>
          <w:rFonts w:cs="Times New Roman"/>
          <w:noProof/>
          <w:szCs w:val="24"/>
        </w:rPr>
        <w:t>Ezzati N</w:t>
      </w:r>
      <w:r w:rsidR="008B6259">
        <w:rPr>
          <w:rFonts w:cs="Times New Roman"/>
          <w:noProof/>
          <w:szCs w:val="24"/>
        </w:rPr>
        <w:t>.</w:t>
      </w:r>
      <w:r w:rsidRPr="008B6259">
        <w:rPr>
          <w:rFonts w:cs="Times New Roman"/>
          <w:noProof/>
          <w:szCs w:val="24"/>
        </w:rPr>
        <w:t xml:space="preserve"> D</w:t>
      </w:r>
      <w:r w:rsidR="008B6259">
        <w:rPr>
          <w:rFonts w:cs="Times New Roman"/>
          <w:noProof/>
          <w:szCs w:val="24"/>
        </w:rPr>
        <w:t>.</w:t>
      </w:r>
      <w:r w:rsidRPr="008B6259">
        <w:rPr>
          <w:rFonts w:cs="Times New Roman"/>
          <w:noProof/>
          <w:szCs w:val="24"/>
        </w:rPr>
        <w:t xml:space="preserve"> J., Hamishehkar, H. and Valizadeh, H. (2015). Development </w:t>
      </w:r>
      <w:r w:rsidR="008B6259" w:rsidRPr="008B6259">
        <w:rPr>
          <w:rFonts w:cs="Times New Roman"/>
          <w:noProof/>
          <w:szCs w:val="24"/>
        </w:rPr>
        <w:t xml:space="preserve">of dry powder inhaler formulation loaded with alendronate solid lipid nanoparticles: </w:t>
      </w:r>
      <w:r w:rsidR="008B6259">
        <w:rPr>
          <w:rFonts w:cs="Times New Roman"/>
          <w:noProof/>
          <w:szCs w:val="24"/>
        </w:rPr>
        <w:t>S</w:t>
      </w:r>
      <w:r w:rsidR="008B6259" w:rsidRPr="008B6259">
        <w:rPr>
          <w:rFonts w:cs="Times New Roman"/>
          <w:noProof/>
          <w:szCs w:val="24"/>
        </w:rPr>
        <w:t>olid-state characterization and aerosol dispersion performance.</w:t>
      </w:r>
      <w:r w:rsidRPr="008B6259">
        <w:rPr>
          <w:rFonts w:cs="Times New Roman"/>
          <w:noProof/>
          <w:szCs w:val="24"/>
        </w:rPr>
        <w:t xml:space="preserve"> </w:t>
      </w:r>
      <w:r w:rsidRPr="008B6259">
        <w:rPr>
          <w:rFonts w:cs="Times New Roman"/>
          <w:i/>
          <w:noProof/>
          <w:szCs w:val="24"/>
        </w:rPr>
        <w:t>Drug Development and Industrial Pharmacy</w:t>
      </w:r>
      <w:r w:rsidRPr="008B6259">
        <w:rPr>
          <w:rFonts w:cs="Times New Roman"/>
          <w:noProof/>
          <w:szCs w:val="24"/>
        </w:rPr>
        <w:t xml:space="preserve">, 41(9): 1431-1437. </w:t>
      </w:r>
      <w:r w:rsidRPr="008B6259">
        <w:rPr>
          <w:rFonts w:cs="Times New Roman"/>
          <w:bCs/>
          <w:color w:val="548DD4" w:themeColor="text2" w:themeTint="99"/>
          <w:szCs w:val="20"/>
        </w:rPr>
        <w:fldChar w:fldCharType="end"/>
      </w:r>
    </w:p>
    <w:p w14:paraId="34CD25C8" w14:textId="77777777" w:rsidR="004E5EE2" w:rsidRPr="00E502EF" w:rsidRDefault="004E5EE2" w:rsidP="006372CC">
      <w:pPr>
        <w:adjustRightInd w:val="0"/>
        <w:ind w:left="480" w:hanging="480"/>
        <w:rPr>
          <w:rFonts w:cs="Times New Roman"/>
          <w:bCs/>
          <w:color w:val="548DD4" w:themeColor="text2" w:themeTint="99"/>
          <w:szCs w:val="20"/>
        </w:rPr>
      </w:pPr>
    </w:p>
    <w:sectPr w:rsidR="004E5EE2" w:rsidRPr="00E502EF" w:rsidSect="00F4378D">
      <w:headerReference w:type="default" r:id="rId13"/>
      <w:footerReference w:type="default" r:id="rId14"/>
      <w:pgSz w:w="11906" w:h="16838"/>
      <w:pgMar w:top="1440" w:right="1440" w:bottom="1440" w:left="1440" w:header="851" w:footer="992" w:gutter="0"/>
      <w:pgNumType w:start="1"/>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639E5E" w14:textId="77777777" w:rsidR="004B001D" w:rsidRDefault="004B001D" w:rsidP="006B61BE">
      <w:r>
        <w:separator/>
      </w:r>
    </w:p>
  </w:endnote>
  <w:endnote w:type="continuationSeparator" w:id="0">
    <w:p w14:paraId="030FD185" w14:textId="77777777" w:rsidR="004B001D" w:rsidRDefault="004B001D" w:rsidP="006B61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3FEDD2" w14:textId="27FD7C4F" w:rsidR="00B215B6" w:rsidRDefault="00B215B6">
    <w:pPr>
      <w:pStyle w:val="Footer"/>
      <w:jc w:val="right"/>
    </w:pPr>
  </w:p>
  <w:p w14:paraId="08936BCE" w14:textId="77777777" w:rsidR="00B215B6" w:rsidRDefault="00B215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D6D401" w14:textId="77777777" w:rsidR="004B001D" w:rsidRDefault="004B001D" w:rsidP="006B61BE">
      <w:r>
        <w:separator/>
      </w:r>
    </w:p>
  </w:footnote>
  <w:footnote w:type="continuationSeparator" w:id="0">
    <w:p w14:paraId="085115F2" w14:textId="77777777" w:rsidR="004B001D" w:rsidRDefault="004B001D" w:rsidP="006B61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E2E510" w14:textId="20F1E587" w:rsidR="00B215B6" w:rsidRPr="00F4378D" w:rsidRDefault="00AC15CA" w:rsidP="00F4378D">
    <w:pPr>
      <w:pStyle w:val="Header"/>
      <w:jc w:val="right"/>
      <w:rPr>
        <w:rFonts w:cs="Times New Roman"/>
        <w:i/>
      </w:rPr>
    </w:pPr>
    <w:r>
      <w:rPr>
        <w:rFonts w:cs="Times New Roman"/>
        <w:i/>
      </w:rPr>
      <w:tab/>
    </w:r>
  </w:p>
  <w:p w14:paraId="657A8A20" w14:textId="77777777" w:rsidR="00B215B6" w:rsidRDefault="00B215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3A4A51"/>
    <w:multiLevelType w:val="hybridMultilevel"/>
    <w:tmpl w:val="1582700A"/>
    <w:lvl w:ilvl="0" w:tplc="AA98F736">
      <w:start w:val="1"/>
      <w:numFmt w:val="decimal"/>
      <w:lvlText w:val="%1."/>
      <w:lvlJc w:val="left"/>
      <w:pPr>
        <w:ind w:left="720" w:hanging="360"/>
      </w:pPr>
      <w:rPr>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DQzMDEyMTM3szQ2NzBQ0lEKTi0uzszPAykwqQUAbVY/RywAAAA="/>
  </w:docVars>
  <w:rsids>
    <w:rsidRoot w:val="00785CA6"/>
    <w:rsid w:val="00005D14"/>
    <w:rsid w:val="000069BB"/>
    <w:rsid w:val="00022CA8"/>
    <w:rsid w:val="000252AF"/>
    <w:rsid w:val="000300C6"/>
    <w:rsid w:val="00037FE1"/>
    <w:rsid w:val="000464D2"/>
    <w:rsid w:val="00051E91"/>
    <w:rsid w:val="00066C2C"/>
    <w:rsid w:val="00077582"/>
    <w:rsid w:val="00086FC8"/>
    <w:rsid w:val="00096511"/>
    <w:rsid w:val="00097C0D"/>
    <w:rsid w:val="000B1EA6"/>
    <w:rsid w:val="000B6BB0"/>
    <w:rsid w:val="000C0172"/>
    <w:rsid w:val="000D0B75"/>
    <w:rsid w:val="000E434A"/>
    <w:rsid w:val="000F33F0"/>
    <w:rsid w:val="000F76BE"/>
    <w:rsid w:val="001015AE"/>
    <w:rsid w:val="00106A75"/>
    <w:rsid w:val="00114D10"/>
    <w:rsid w:val="00125D21"/>
    <w:rsid w:val="00126B69"/>
    <w:rsid w:val="00131D25"/>
    <w:rsid w:val="001330C4"/>
    <w:rsid w:val="0015140B"/>
    <w:rsid w:val="001528B9"/>
    <w:rsid w:val="001573FE"/>
    <w:rsid w:val="00182DAB"/>
    <w:rsid w:val="001871B4"/>
    <w:rsid w:val="00194541"/>
    <w:rsid w:val="001A59A3"/>
    <w:rsid w:val="001A64F6"/>
    <w:rsid w:val="001B7E71"/>
    <w:rsid w:val="001C00E4"/>
    <w:rsid w:val="001C4784"/>
    <w:rsid w:val="001C56DC"/>
    <w:rsid w:val="001D0140"/>
    <w:rsid w:val="001E5A52"/>
    <w:rsid w:val="001E78EC"/>
    <w:rsid w:val="001F5463"/>
    <w:rsid w:val="00210F08"/>
    <w:rsid w:val="00211BC8"/>
    <w:rsid w:val="002176EE"/>
    <w:rsid w:val="0022280A"/>
    <w:rsid w:val="00232F05"/>
    <w:rsid w:val="002344DE"/>
    <w:rsid w:val="00240390"/>
    <w:rsid w:val="00260C2D"/>
    <w:rsid w:val="00275D97"/>
    <w:rsid w:val="00281FB2"/>
    <w:rsid w:val="00287AF9"/>
    <w:rsid w:val="002A04E1"/>
    <w:rsid w:val="002A2127"/>
    <w:rsid w:val="002A67A1"/>
    <w:rsid w:val="002A7180"/>
    <w:rsid w:val="002B30E7"/>
    <w:rsid w:val="002B6501"/>
    <w:rsid w:val="002D07D7"/>
    <w:rsid w:val="002D6E74"/>
    <w:rsid w:val="002E680C"/>
    <w:rsid w:val="00307B4A"/>
    <w:rsid w:val="003143EB"/>
    <w:rsid w:val="00323DE1"/>
    <w:rsid w:val="00324132"/>
    <w:rsid w:val="0033543C"/>
    <w:rsid w:val="00345AF4"/>
    <w:rsid w:val="00351AFF"/>
    <w:rsid w:val="003524FD"/>
    <w:rsid w:val="003577A4"/>
    <w:rsid w:val="003613A1"/>
    <w:rsid w:val="00365368"/>
    <w:rsid w:val="00365F93"/>
    <w:rsid w:val="00376C76"/>
    <w:rsid w:val="00380318"/>
    <w:rsid w:val="00393813"/>
    <w:rsid w:val="00397A55"/>
    <w:rsid w:val="003A03DE"/>
    <w:rsid w:val="003A2A26"/>
    <w:rsid w:val="003A6017"/>
    <w:rsid w:val="003A6234"/>
    <w:rsid w:val="003D3980"/>
    <w:rsid w:val="003E11F2"/>
    <w:rsid w:val="003E428E"/>
    <w:rsid w:val="003E66A2"/>
    <w:rsid w:val="003F3701"/>
    <w:rsid w:val="004029C2"/>
    <w:rsid w:val="00413F72"/>
    <w:rsid w:val="00414563"/>
    <w:rsid w:val="00414D07"/>
    <w:rsid w:val="0042171B"/>
    <w:rsid w:val="00423008"/>
    <w:rsid w:val="004231A9"/>
    <w:rsid w:val="00423528"/>
    <w:rsid w:val="00423743"/>
    <w:rsid w:val="00451867"/>
    <w:rsid w:val="00457AC3"/>
    <w:rsid w:val="00474D9E"/>
    <w:rsid w:val="004A152C"/>
    <w:rsid w:val="004A739D"/>
    <w:rsid w:val="004B001D"/>
    <w:rsid w:val="004B2CA5"/>
    <w:rsid w:val="004B315B"/>
    <w:rsid w:val="004B4CE5"/>
    <w:rsid w:val="004C2B5F"/>
    <w:rsid w:val="004D2153"/>
    <w:rsid w:val="004E0C24"/>
    <w:rsid w:val="004E4671"/>
    <w:rsid w:val="004E4C14"/>
    <w:rsid w:val="004E5EE2"/>
    <w:rsid w:val="004F7ACD"/>
    <w:rsid w:val="0051575E"/>
    <w:rsid w:val="00527F3E"/>
    <w:rsid w:val="005325D9"/>
    <w:rsid w:val="00540540"/>
    <w:rsid w:val="005415AA"/>
    <w:rsid w:val="00547BB8"/>
    <w:rsid w:val="005535ED"/>
    <w:rsid w:val="005543AA"/>
    <w:rsid w:val="0057378D"/>
    <w:rsid w:val="00573911"/>
    <w:rsid w:val="00596F2E"/>
    <w:rsid w:val="005A183A"/>
    <w:rsid w:val="005B64EA"/>
    <w:rsid w:val="005D0911"/>
    <w:rsid w:val="005D5D5A"/>
    <w:rsid w:val="005D5D82"/>
    <w:rsid w:val="005D7A62"/>
    <w:rsid w:val="005E07DB"/>
    <w:rsid w:val="005F41CB"/>
    <w:rsid w:val="005F6660"/>
    <w:rsid w:val="0060418B"/>
    <w:rsid w:val="006350D5"/>
    <w:rsid w:val="006372CC"/>
    <w:rsid w:val="006533F1"/>
    <w:rsid w:val="0066186E"/>
    <w:rsid w:val="00661EFD"/>
    <w:rsid w:val="006673BF"/>
    <w:rsid w:val="0067449F"/>
    <w:rsid w:val="006752F3"/>
    <w:rsid w:val="006773DF"/>
    <w:rsid w:val="00685C81"/>
    <w:rsid w:val="006927DB"/>
    <w:rsid w:val="0069524A"/>
    <w:rsid w:val="00696291"/>
    <w:rsid w:val="0069775B"/>
    <w:rsid w:val="006A2C77"/>
    <w:rsid w:val="006B61BE"/>
    <w:rsid w:val="006C7A66"/>
    <w:rsid w:val="006D3EEC"/>
    <w:rsid w:val="006E5460"/>
    <w:rsid w:val="006F6122"/>
    <w:rsid w:val="00713919"/>
    <w:rsid w:val="007156E0"/>
    <w:rsid w:val="00722FDC"/>
    <w:rsid w:val="007243AA"/>
    <w:rsid w:val="00733E5B"/>
    <w:rsid w:val="0073452D"/>
    <w:rsid w:val="007369FD"/>
    <w:rsid w:val="00737328"/>
    <w:rsid w:val="007435AB"/>
    <w:rsid w:val="00743BC9"/>
    <w:rsid w:val="00747021"/>
    <w:rsid w:val="00762DF2"/>
    <w:rsid w:val="00763E99"/>
    <w:rsid w:val="0077276F"/>
    <w:rsid w:val="00773D1B"/>
    <w:rsid w:val="00780FC3"/>
    <w:rsid w:val="00785CA6"/>
    <w:rsid w:val="007A43A2"/>
    <w:rsid w:val="007C1FFB"/>
    <w:rsid w:val="007D005A"/>
    <w:rsid w:val="007E319F"/>
    <w:rsid w:val="007E4887"/>
    <w:rsid w:val="007E7A55"/>
    <w:rsid w:val="00821003"/>
    <w:rsid w:val="0082319D"/>
    <w:rsid w:val="00834249"/>
    <w:rsid w:val="00835BD0"/>
    <w:rsid w:val="0084131F"/>
    <w:rsid w:val="00842E4D"/>
    <w:rsid w:val="0085190D"/>
    <w:rsid w:val="00855B26"/>
    <w:rsid w:val="00857065"/>
    <w:rsid w:val="008626DE"/>
    <w:rsid w:val="00866412"/>
    <w:rsid w:val="008811AA"/>
    <w:rsid w:val="00893C65"/>
    <w:rsid w:val="008A7B51"/>
    <w:rsid w:val="008B12D9"/>
    <w:rsid w:val="008B6259"/>
    <w:rsid w:val="008C3B75"/>
    <w:rsid w:val="008C47B5"/>
    <w:rsid w:val="008C6CC4"/>
    <w:rsid w:val="008C6FEF"/>
    <w:rsid w:val="008E1785"/>
    <w:rsid w:val="00900CE0"/>
    <w:rsid w:val="009031A7"/>
    <w:rsid w:val="00915460"/>
    <w:rsid w:val="009176C7"/>
    <w:rsid w:val="00923446"/>
    <w:rsid w:val="00934CCC"/>
    <w:rsid w:val="00940B08"/>
    <w:rsid w:val="0098796E"/>
    <w:rsid w:val="009C4BFE"/>
    <w:rsid w:val="009C4E07"/>
    <w:rsid w:val="009D0D66"/>
    <w:rsid w:val="009D2C87"/>
    <w:rsid w:val="009E6F1E"/>
    <w:rsid w:val="00A03729"/>
    <w:rsid w:val="00A0461A"/>
    <w:rsid w:val="00A05C8C"/>
    <w:rsid w:val="00A16CB8"/>
    <w:rsid w:val="00A23038"/>
    <w:rsid w:val="00A2616E"/>
    <w:rsid w:val="00A26A0C"/>
    <w:rsid w:val="00A27AA1"/>
    <w:rsid w:val="00A31775"/>
    <w:rsid w:val="00A415C1"/>
    <w:rsid w:val="00A420C4"/>
    <w:rsid w:val="00A437B1"/>
    <w:rsid w:val="00A506AC"/>
    <w:rsid w:val="00A65D25"/>
    <w:rsid w:val="00A85348"/>
    <w:rsid w:val="00AA4A76"/>
    <w:rsid w:val="00AA799C"/>
    <w:rsid w:val="00AC15CA"/>
    <w:rsid w:val="00AC304C"/>
    <w:rsid w:val="00AD2041"/>
    <w:rsid w:val="00AE2921"/>
    <w:rsid w:val="00AE4909"/>
    <w:rsid w:val="00AE542A"/>
    <w:rsid w:val="00AE5FD3"/>
    <w:rsid w:val="00AF13E4"/>
    <w:rsid w:val="00AF23F0"/>
    <w:rsid w:val="00AF366D"/>
    <w:rsid w:val="00B04126"/>
    <w:rsid w:val="00B215B6"/>
    <w:rsid w:val="00B366A0"/>
    <w:rsid w:val="00B50625"/>
    <w:rsid w:val="00B50717"/>
    <w:rsid w:val="00B904A7"/>
    <w:rsid w:val="00B93161"/>
    <w:rsid w:val="00BA68E0"/>
    <w:rsid w:val="00BB34A4"/>
    <w:rsid w:val="00BB70CD"/>
    <w:rsid w:val="00BD1340"/>
    <w:rsid w:val="00BD23C8"/>
    <w:rsid w:val="00BE24A6"/>
    <w:rsid w:val="00BF320B"/>
    <w:rsid w:val="00BF4743"/>
    <w:rsid w:val="00BF7AF8"/>
    <w:rsid w:val="00C11E93"/>
    <w:rsid w:val="00C20491"/>
    <w:rsid w:val="00C27A77"/>
    <w:rsid w:val="00C33A35"/>
    <w:rsid w:val="00C437CF"/>
    <w:rsid w:val="00C45443"/>
    <w:rsid w:val="00C57A61"/>
    <w:rsid w:val="00C615D8"/>
    <w:rsid w:val="00C622DB"/>
    <w:rsid w:val="00C6474C"/>
    <w:rsid w:val="00C90047"/>
    <w:rsid w:val="00C90540"/>
    <w:rsid w:val="00CA280D"/>
    <w:rsid w:val="00CA3118"/>
    <w:rsid w:val="00CA3788"/>
    <w:rsid w:val="00CB6150"/>
    <w:rsid w:val="00CC133E"/>
    <w:rsid w:val="00CC3BBA"/>
    <w:rsid w:val="00CC4DC6"/>
    <w:rsid w:val="00CD1B27"/>
    <w:rsid w:val="00CD7789"/>
    <w:rsid w:val="00CE0DA9"/>
    <w:rsid w:val="00CE4B9C"/>
    <w:rsid w:val="00CF1F04"/>
    <w:rsid w:val="00CF5A40"/>
    <w:rsid w:val="00D17CA9"/>
    <w:rsid w:val="00D25ECB"/>
    <w:rsid w:val="00D323ED"/>
    <w:rsid w:val="00D36296"/>
    <w:rsid w:val="00D365D2"/>
    <w:rsid w:val="00D42309"/>
    <w:rsid w:val="00D438E7"/>
    <w:rsid w:val="00D47354"/>
    <w:rsid w:val="00D51FAB"/>
    <w:rsid w:val="00D526EA"/>
    <w:rsid w:val="00D56B3B"/>
    <w:rsid w:val="00D75333"/>
    <w:rsid w:val="00D75B40"/>
    <w:rsid w:val="00D90564"/>
    <w:rsid w:val="00DA42F2"/>
    <w:rsid w:val="00DB1313"/>
    <w:rsid w:val="00DB4E23"/>
    <w:rsid w:val="00DC11E2"/>
    <w:rsid w:val="00DD1CC4"/>
    <w:rsid w:val="00DD3A16"/>
    <w:rsid w:val="00DD6C4E"/>
    <w:rsid w:val="00DE49DF"/>
    <w:rsid w:val="00DE73D6"/>
    <w:rsid w:val="00DF2F35"/>
    <w:rsid w:val="00E04F71"/>
    <w:rsid w:val="00E069D5"/>
    <w:rsid w:val="00E16B6E"/>
    <w:rsid w:val="00E4188E"/>
    <w:rsid w:val="00E4533F"/>
    <w:rsid w:val="00E502EF"/>
    <w:rsid w:val="00E51641"/>
    <w:rsid w:val="00E56709"/>
    <w:rsid w:val="00E570AF"/>
    <w:rsid w:val="00E5757B"/>
    <w:rsid w:val="00E61A63"/>
    <w:rsid w:val="00E71709"/>
    <w:rsid w:val="00E7752A"/>
    <w:rsid w:val="00E84DE0"/>
    <w:rsid w:val="00E8658A"/>
    <w:rsid w:val="00E91A35"/>
    <w:rsid w:val="00E9234B"/>
    <w:rsid w:val="00EB75C4"/>
    <w:rsid w:val="00EC0FBF"/>
    <w:rsid w:val="00EC518A"/>
    <w:rsid w:val="00EC5C28"/>
    <w:rsid w:val="00ED6C03"/>
    <w:rsid w:val="00EE08EB"/>
    <w:rsid w:val="00F0168C"/>
    <w:rsid w:val="00F11A7A"/>
    <w:rsid w:val="00F11C97"/>
    <w:rsid w:val="00F12A2C"/>
    <w:rsid w:val="00F14AC0"/>
    <w:rsid w:val="00F23761"/>
    <w:rsid w:val="00F30065"/>
    <w:rsid w:val="00F32069"/>
    <w:rsid w:val="00F35D85"/>
    <w:rsid w:val="00F429C4"/>
    <w:rsid w:val="00F4378D"/>
    <w:rsid w:val="00F43EC3"/>
    <w:rsid w:val="00F578ED"/>
    <w:rsid w:val="00F8383A"/>
    <w:rsid w:val="00F83DE7"/>
    <w:rsid w:val="00F87414"/>
    <w:rsid w:val="00FA5ECE"/>
    <w:rsid w:val="00FB081F"/>
    <w:rsid w:val="00FB0890"/>
    <w:rsid w:val="00FB4C67"/>
    <w:rsid w:val="00FB505B"/>
    <w:rsid w:val="00FB762F"/>
    <w:rsid w:val="00FC029A"/>
    <w:rsid w:val="00FC49B4"/>
    <w:rsid w:val="00FC605B"/>
    <w:rsid w:val="00FC6083"/>
    <w:rsid w:val="00FD2DE5"/>
    <w:rsid w:val="00FD2F30"/>
    <w:rsid w:val="00FD5A83"/>
    <w:rsid w:val="00FF52C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DE2105C"/>
  <w15:docId w15:val="{FA52DF61-64E6-4F0D-AF5B-4466C836B5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11F2"/>
    <w:pPr>
      <w:widowControl w:val="0"/>
      <w:wordWrap w:val="0"/>
      <w:autoSpaceDE w:val="0"/>
      <w:autoSpaceDN w:val="0"/>
      <w:spacing w:after="0" w:line="240" w:lineRule="auto"/>
      <w:jc w:val="both"/>
    </w:pPr>
    <w:rPr>
      <w:rFonts w:ascii="Times New Roman" w:eastAsiaTheme="minorEastAsia" w:hAnsi="Times New Roman"/>
      <w:kern w:val="2"/>
      <w:sz w:val="20"/>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LightShading1">
    <w:name w:val="Light Shading1"/>
    <w:basedOn w:val="TableNormal"/>
    <w:uiPriority w:val="60"/>
    <w:rsid w:val="00785CA6"/>
    <w:pPr>
      <w:spacing w:after="0" w:line="240" w:lineRule="auto"/>
    </w:pPr>
    <w:rPr>
      <w:rFonts w:eastAsiaTheme="minorEastAsia"/>
      <w:color w:val="000000" w:themeColor="text1" w:themeShade="BF"/>
      <w:kern w:val="2"/>
      <w:sz w:val="20"/>
      <w:lang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785CA6"/>
    <w:rPr>
      <w:rFonts w:ascii="Tahoma" w:hAnsi="Tahoma" w:cs="Tahoma"/>
      <w:sz w:val="16"/>
      <w:szCs w:val="16"/>
    </w:rPr>
  </w:style>
  <w:style w:type="character" w:customStyle="1" w:styleId="BalloonTextChar">
    <w:name w:val="Balloon Text Char"/>
    <w:basedOn w:val="DefaultParagraphFont"/>
    <w:link w:val="BalloonText"/>
    <w:uiPriority w:val="99"/>
    <w:semiHidden/>
    <w:rsid w:val="00785CA6"/>
    <w:rPr>
      <w:rFonts w:ascii="Tahoma" w:eastAsiaTheme="minorEastAsia" w:hAnsi="Tahoma" w:cs="Tahoma"/>
      <w:kern w:val="2"/>
      <w:sz w:val="16"/>
      <w:szCs w:val="16"/>
      <w:lang w:eastAsia="ko-KR"/>
    </w:rPr>
  </w:style>
  <w:style w:type="paragraph" w:styleId="ListParagraph">
    <w:name w:val="List Paragraph"/>
    <w:basedOn w:val="Normal"/>
    <w:uiPriority w:val="34"/>
    <w:qFormat/>
    <w:rsid w:val="006752F3"/>
    <w:pPr>
      <w:ind w:left="720"/>
      <w:contextualSpacing/>
    </w:pPr>
  </w:style>
  <w:style w:type="character" w:styleId="Hyperlink">
    <w:name w:val="Hyperlink"/>
    <w:basedOn w:val="DefaultParagraphFont"/>
    <w:uiPriority w:val="99"/>
    <w:unhideWhenUsed/>
    <w:rsid w:val="004E5EE2"/>
    <w:rPr>
      <w:color w:val="0000FF" w:themeColor="hyperlink"/>
      <w:u w:val="single"/>
    </w:rPr>
  </w:style>
  <w:style w:type="paragraph" w:styleId="Header">
    <w:name w:val="header"/>
    <w:basedOn w:val="Normal"/>
    <w:link w:val="HeaderChar"/>
    <w:uiPriority w:val="99"/>
    <w:unhideWhenUsed/>
    <w:rsid w:val="006B61BE"/>
    <w:pPr>
      <w:tabs>
        <w:tab w:val="center" w:pos="4680"/>
        <w:tab w:val="right" w:pos="9360"/>
      </w:tabs>
    </w:pPr>
  </w:style>
  <w:style w:type="character" w:customStyle="1" w:styleId="HeaderChar">
    <w:name w:val="Header Char"/>
    <w:basedOn w:val="DefaultParagraphFont"/>
    <w:link w:val="Header"/>
    <w:uiPriority w:val="99"/>
    <w:rsid w:val="006B61BE"/>
    <w:rPr>
      <w:rFonts w:eastAsiaTheme="minorEastAsia"/>
      <w:kern w:val="2"/>
      <w:sz w:val="20"/>
      <w:lang w:eastAsia="ko-KR"/>
    </w:rPr>
  </w:style>
  <w:style w:type="paragraph" w:styleId="Footer">
    <w:name w:val="footer"/>
    <w:basedOn w:val="Normal"/>
    <w:link w:val="FooterChar"/>
    <w:uiPriority w:val="99"/>
    <w:unhideWhenUsed/>
    <w:rsid w:val="006B61BE"/>
    <w:pPr>
      <w:tabs>
        <w:tab w:val="center" w:pos="4680"/>
        <w:tab w:val="right" w:pos="9360"/>
      </w:tabs>
    </w:pPr>
  </w:style>
  <w:style w:type="character" w:customStyle="1" w:styleId="FooterChar">
    <w:name w:val="Footer Char"/>
    <w:basedOn w:val="DefaultParagraphFont"/>
    <w:link w:val="Footer"/>
    <w:uiPriority w:val="99"/>
    <w:rsid w:val="006B61BE"/>
    <w:rPr>
      <w:rFonts w:eastAsiaTheme="minorEastAsia"/>
      <w:kern w:val="2"/>
      <w:sz w:val="20"/>
      <w:lang w:eastAsia="ko-KR"/>
    </w:rPr>
  </w:style>
  <w:style w:type="table" w:styleId="TableGrid">
    <w:name w:val="Table Grid"/>
    <w:basedOn w:val="TableNormal"/>
    <w:uiPriority w:val="59"/>
    <w:rsid w:val="004A152C"/>
    <w:pPr>
      <w:spacing w:after="0" w:line="240" w:lineRule="auto"/>
    </w:pPr>
    <w:rPr>
      <w:lang w:val="en-M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DD3A16"/>
    <w:rPr>
      <w:color w:val="808080"/>
    </w:rPr>
  </w:style>
  <w:style w:type="paragraph" w:styleId="Caption">
    <w:name w:val="caption"/>
    <w:basedOn w:val="Normal"/>
    <w:next w:val="Normal"/>
    <w:uiPriority w:val="35"/>
    <w:unhideWhenUsed/>
    <w:qFormat/>
    <w:rsid w:val="00051E91"/>
    <w:pPr>
      <w:spacing w:after="200"/>
    </w:pPr>
    <w:rPr>
      <w:iCs/>
      <w:color w:val="000000" w:themeColor="text1"/>
      <w:szCs w:val="18"/>
    </w:rPr>
  </w:style>
  <w:style w:type="table" w:styleId="GridTable1Light">
    <w:name w:val="Grid Table 1 Light"/>
    <w:basedOn w:val="TableNormal"/>
    <w:uiPriority w:val="46"/>
    <w:rsid w:val="00D56B3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2.wdp"/><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footer" Target="footer1.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9282370953630795"/>
          <c:y val="4.0268456375838924E-2"/>
          <c:w val="0.75509295713035873"/>
          <c:h val="0.75384769856788036"/>
        </c:manualLayout>
      </c:layout>
      <c:scatterChart>
        <c:scatterStyle val="lineMarker"/>
        <c:varyColors val="0"/>
        <c:ser>
          <c:idx val="0"/>
          <c:order val="0"/>
          <c:tx>
            <c:v>dtx</c:v>
          </c:tx>
          <c:spPr>
            <a:ln w="28575">
              <a:noFill/>
            </a:ln>
          </c:spPr>
          <c:marker>
            <c:symbol val="circle"/>
            <c:size val="5"/>
            <c:spPr>
              <a:solidFill>
                <a:sysClr val="windowText" lastClr="000000"/>
              </a:solidFill>
              <a:ln>
                <a:solidFill>
                  <a:sysClr val="windowText" lastClr="000000"/>
                </a:solidFill>
              </a:ln>
            </c:spPr>
          </c:marker>
          <c:trendline>
            <c:trendlineType val="linear"/>
            <c:dispRSqr val="1"/>
            <c:dispEq val="1"/>
            <c:trendlineLbl>
              <c:layout>
                <c:manualLayout>
                  <c:x val="-0.26523437859741217"/>
                  <c:y val="7.084281131525226E-2"/>
                </c:manualLayout>
              </c:layout>
              <c:tx>
                <c:rich>
                  <a:bodyPr/>
                  <a:lstStyle/>
                  <a:p>
                    <a:pPr>
                      <a:defRPr sz="800"/>
                    </a:pPr>
                    <a:r>
                      <a:rPr lang="en-US" sz="800" i="1"/>
                      <a:t>y</a:t>
                    </a:r>
                    <a:r>
                      <a:rPr lang="en-US" sz="800"/>
                      <a:t> = 624.94</a:t>
                    </a:r>
                    <a:r>
                      <a:rPr lang="en-US" sz="800" i="1"/>
                      <a:t>x</a:t>
                    </a:r>
                    <a:r>
                      <a:rPr lang="en-US" sz="800"/>
                      <a:t> - 341.33</a:t>
                    </a:r>
                    <a:br>
                      <a:rPr lang="en-US" sz="800"/>
                    </a:br>
                    <a:r>
                      <a:rPr lang="en-US" sz="800" i="1"/>
                      <a:t>R</a:t>
                    </a:r>
                    <a:r>
                      <a:rPr lang="en-US" sz="800"/>
                      <a:t>² = 0.9999</a:t>
                    </a:r>
                  </a:p>
                </c:rich>
              </c:tx>
              <c:numFmt formatCode="General" sourceLinked="0"/>
            </c:trendlineLbl>
          </c:trendline>
          <c:xVal>
            <c:numRef>
              <c:f>dtx!$A$34:$A$38</c:f>
              <c:numCache>
                <c:formatCode>General</c:formatCode>
                <c:ptCount val="5"/>
                <c:pt idx="0">
                  <c:v>1000</c:v>
                </c:pt>
                <c:pt idx="1">
                  <c:v>500</c:v>
                </c:pt>
                <c:pt idx="2">
                  <c:v>250</c:v>
                </c:pt>
                <c:pt idx="3">
                  <c:v>125</c:v>
                </c:pt>
                <c:pt idx="4">
                  <c:v>62.5</c:v>
                </c:pt>
              </c:numCache>
            </c:numRef>
          </c:xVal>
          <c:yVal>
            <c:numRef>
              <c:f>dtx!$E$34:$E$38</c:f>
              <c:numCache>
                <c:formatCode>General</c:formatCode>
                <c:ptCount val="5"/>
                <c:pt idx="0">
                  <c:v>625770.66666666663</c:v>
                </c:pt>
                <c:pt idx="1">
                  <c:v>309421.33333333331</c:v>
                </c:pt>
                <c:pt idx="2">
                  <c:v>156538.33333333334</c:v>
                </c:pt>
                <c:pt idx="3">
                  <c:v>77251</c:v>
                </c:pt>
                <c:pt idx="4">
                  <c:v>40137</c:v>
                </c:pt>
              </c:numCache>
            </c:numRef>
          </c:yVal>
          <c:smooth val="0"/>
          <c:extLst>
            <c:ext xmlns:c16="http://schemas.microsoft.com/office/drawing/2014/chart" uri="{C3380CC4-5D6E-409C-BE32-E72D297353CC}">
              <c16:uniqueId val="{00000001-C7A9-4509-AFC1-AAD183F379C7}"/>
            </c:ext>
          </c:extLst>
        </c:ser>
        <c:dLbls>
          <c:showLegendKey val="0"/>
          <c:showVal val="0"/>
          <c:showCatName val="0"/>
          <c:showSerName val="0"/>
          <c:showPercent val="0"/>
          <c:showBubbleSize val="0"/>
        </c:dLbls>
        <c:axId val="46749888"/>
        <c:axId val="642816192"/>
      </c:scatterChart>
      <c:valAx>
        <c:axId val="46749888"/>
        <c:scaling>
          <c:orientation val="minMax"/>
          <c:max val="1100"/>
          <c:min val="0"/>
        </c:scaling>
        <c:delete val="0"/>
        <c:axPos val="b"/>
        <c:title>
          <c:tx>
            <c:rich>
              <a:bodyPr/>
              <a:lstStyle/>
              <a:p>
                <a:pPr>
                  <a:defRPr b="0"/>
                </a:pPr>
                <a:r>
                  <a:rPr lang="en-MY" b="0"/>
                  <a:t>Concentration (</a:t>
                </a:r>
                <a:r>
                  <a:rPr lang="el-GR" b="0"/>
                  <a:t>μ</a:t>
                </a:r>
                <a:r>
                  <a:rPr lang="en-MY" b="0"/>
                  <a:t>g/mL)</a:t>
                </a:r>
              </a:p>
            </c:rich>
          </c:tx>
          <c:overlay val="0"/>
        </c:title>
        <c:numFmt formatCode="General" sourceLinked="1"/>
        <c:majorTickMark val="none"/>
        <c:minorTickMark val="none"/>
        <c:tickLblPos val="nextTo"/>
        <c:txPr>
          <a:bodyPr/>
          <a:lstStyle/>
          <a:p>
            <a:pPr>
              <a:defRPr sz="800"/>
            </a:pPr>
            <a:endParaRPr lang="en-US"/>
          </a:p>
        </c:txPr>
        <c:crossAx val="642816192"/>
        <c:crosses val="autoZero"/>
        <c:crossBetween val="midCat"/>
      </c:valAx>
      <c:valAx>
        <c:axId val="642816192"/>
        <c:scaling>
          <c:orientation val="minMax"/>
          <c:max val="650000"/>
          <c:min val="0"/>
        </c:scaling>
        <c:delete val="0"/>
        <c:axPos val="l"/>
        <c:majorGridlines>
          <c:spPr>
            <a:ln>
              <a:noFill/>
            </a:ln>
          </c:spPr>
        </c:majorGridlines>
        <c:title>
          <c:tx>
            <c:rich>
              <a:bodyPr/>
              <a:lstStyle/>
              <a:p>
                <a:pPr>
                  <a:defRPr b="0"/>
                </a:pPr>
                <a:r>
                  <a:rPr lang="en-MY" b="0"/>
                  <a:t>Peak area (</a:t>
                </a:r>
                <a:r>
                  <a:rPr lang="el-GR" b="0"/>
                  <a:t>μ</a:t>
                </a:r>
                <a:r>
                  <a:rPr lang="en-MY" b="0"/>
                  <a:t>V*sec)</a:t>
                </a:r>
              </a:p>
            </c:rich>
          </c:tx>
          <c:layout>
            <c:manualLayout>
              <c:xMode val="edge"/>
              <c:yMode val="edge"/>
              <c:x val="2.2114053925077551E-2"/>
              <c:y val="0.17006221444541655"/>
            </c:manualLayout>
          </c:layout>
          <c:overlay val="0"/>
        </c:title>
        <c:numFmt formatCode="General" sourceLinked="1"/>
        <c:majorTickMark val="none"/>
        <c:minorTickMark val="none"/>
        <c:tickLblPos val="nextTo"/>
        <c:txPr>
          <a:bodyPr/>
          <a:lstStyle/>
          <a:p>
            <a:pPr>
              <a:defRPr sz="800"/>
            </a:pPr>
            <a:endParaRPr lang="en-US"/>
          </a:p>
        </c:txPr>
        <c:crossAx val="46749888"/>
        <c:crosses val="autoZero"/>
        <c:crossBetween val="midCat"/>
      </c:valAx>
    </c:plotArea>
    <c:plotVisOnly val="1"/>
    <c:dispBlanksAs val="gap"/>
    <c:showDLblsOverMax val="0"/>
  </c:chart>
  <c:txPr>
    <a:bodyPr/>
    <a:lstStyle/>
    <a:p>
      <a:pPr>
        <a:defRPr sz="900">
          <a:latin typeface="Times New Roman" panose="02020603050405020304" pitchFamily="18" charset="0"/>
          <a:cs typeface="Times New Roman" panose="02020603050405020304" pitchFamily="18" charset="0"/>
        </a:defRPr>
      </a:pPr>
      <a:endParaRPr lang="en-US"/>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8A9B5F-5C95-4B09-9593-5A84E74E34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2870</TotalTime>
  <Pages>7</Pages>
  <Words>7654</Words>
  <Characters>43628</Characters>
  <Application>Microsoft Office Word</Application>
  <DocSecurity>0</DocSecurity>
  <Lines>363</Lines>
  <Paragraphs>102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Windows XP</dc:creator>
  <cp:lastModifiedBy>Reviewer</cp:lastModifiedBy>
  <cp:revision>129</cp:revision>
  <cp:lastPrinted>2017-03-01T05:33:00Z</cp:lastPrinted>
  <dcterms:created xsi:type="dcterms:W3CDTF">2019-06-21T12:44:00Z</dcterms:created>
  <dcterms:modified xsi:type="dcterms:W3CDTF">2020-03-18T15:00:00Z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e77d3800-0adb-386b-b896-5e596de04f29</vt:lpwstr>
  </property>
  <property fmtid="{D5CDD505-2E9C-101B-9397-08002B2CF9AE}" pid="4" name="Mendeley Citation Style_1">
    <vt:lpwstr>http://www.zotero.org/styles/drug-delivery-and-translational-research</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http://www.zotero.org/styles/drug-delivery-and-translational-research</vt:lpwstr>
  </property>
  <property fmtid="{D5CDD505-2E9C-101B-9397-08002B2CF9AE}" pid="14" name="Mendeley Recent Style Name 4_1">
    <vt:lpwstr>Drug Delivery and Translational Research</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(deprecated)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