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56BD6" w14:textId="0281A1AC" w:rsidR="007B0A7E" w:rsidRPr="007B0A7E" w:rsidRDefault="00564D15" w:rsidP="00564D15">
      <w:pPr>
        <w:spacing w:after="120"/>
        <w:jc w:val="both"/>
        <w:outlineLvl w:val="0"/>
        <w:rPr>
          <w:rFonts w:ascii="Times New Roman" w:hAnsi="Times New Roman"/>
          <w:sz w:val="20"/>
          <w:szCs w:val="20"/>
          <w:lang w:val="en-GB"/>
        </w:rPr>
      </w:pPr>
      <w:r>
        <w:rPr>
          <w:rFonts w:ascii="Times New Roman" w:hAnsi="Times New Roman"/>
          <w:sz w:val="20"/>
          <w:szCs w:val="20"/>
          <w:lang w:val="en-GB"/>
        </w:rPr>
        <w:t xml:space="preserve">    </w:t>
      </w:r>
      <w:r w:rsidR="0057659F">
        <w:rPr>
          <w:rFonts w:ascii="Times New Roman" w:hAnsi="Times New Roman"/>
          <w:noProof/>
          <w:sz w:val="20"/>
          <w:szCs w:val="20"/>
          <w:lang w:val="en-GB"/>
        </w:rPr>
        <w:drawing>
          <wp:inline distT="0" distB="0" distL="0" distR="0" wp14:anchorId="422404F9" wp14:editId="18B89644">
            <wp:extent cx="5705856" cy="4764024"/>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05856" cy="4764024"/>
                    </a:xfrm>
                    <a:prstGeom prst="rect">
                      <a:avLst/>
                    </a:prstGeom>
                  </pic:spPr>
                </pic:pic>
              </a:graphicData>
            </a:graphic>
          </wp:inline>
        </w:drawing>
      </w:r>
    </w:p>
    <w:p w14:paraId="4BD6D239" w14:textId="42AB9A18" w:rsidR="007B0A7E" w:rsidRPr="007B0A7E" w:rsidRDefault="007B0A7E" w:rsidP="00564D15">
      <w:pPr>
        <w:spacing w:before="120" w:after="0"/>
        <w:jc w:val="center"/>
        <w:outlineLvl w:val="0"/>
        <w:rPr>
          <w:rFonts w:ascii="Times New Roman" w:hAnsi="Times New Roman"/>
          <w:sz w:val="20"/>
          <w:szCs w:val="20"/>
          <w:lang w:val="en-GB"/>
        </w:rPr>
      </w:pPr>
      <w:r w:rsidRPr="007B0A7E">
        <w:rPr>
          <w:rFonts w:ascii="Times New Roman" w:hAnsi="Times New Roman"/>
          <w:sz w:val="20"/>
          <w:szCs w:val="20"/>
          <w:lang w:val="en-GB"/>
        </w:rPr>
        <w:t xml:space="preserve">Figure 4. </w:t>
      </w:r>
      <w:r w:rsidR="00564D15">
        <w:rPr>
          <w:rFonts w:ascii="Times New Roman" w:hAnsi="Times New Roman"/>
          <w:sz w:val="20"/>
          <w:szCs w:val="20"/>
          <w:lang w:val="en-GB"/>
        </w:rPr>
        <w:t xml:space="preserve"> </w:t>
      </w:r>
      <w:r w:rsidRPr="007B0A7E">
        <w:rPr>
          <w:rFonts w:ascii="Times New Roman" w:hAnsi="Times New Roman"/>
          <w:sz w:val="20"/>
          <w:szCs w:val="20"/>
          <w:lang w:val="en-GB"/>
        </w:rPr>
        <w:t>Discrimination of pen samples by a series of analytical techniques</w:t>
      </w:r>
    </w:p>
    <w:p w14:paraId="64DA8D31" w14:textId="77777777" w:rsidR="007B0A7E" w:rsidRPr="007B0A7E" w:rsidRDefault="007B0A7E" w:rsidP="007B0A7E">
      <w:pPr>
        <w:spacing w:after="0"/>
        <w:jc w:val="both"/>
        <w:outlineLvl w:val="0"/>
        <w:rPr>
          <w:rFonts w:ascii="Times New Roman" w:hAnsi="Times New Roman"/>
          <w:sz w:val="20"/>
          <w:szCs w:val="20"/>
          <w:lang w:val="en-GB"/>
        </w:rPr>
      </w:pPr>
    </w:p>
    <w:p w14:paraId="3839B0B7" w14:textId="77777777" w:rsidR="006768E9" w:rsidRPr="00510BA6" w:rsidRDefault="006768E9" w:rsidP="00510BA6">
      <w:pPr>
        <w:spacing w:after="0"/>
        <w:jc w:val="center"/>
        <w:rPr>
          <w:rFonts w:ascii="Times New Roman" w:hAnsi="Times New Roman"/>
          <w:noProof/>
          <w:sz w:val="20"/>
          <w:szCs w:val="20"/>
          <w:lang w:bidi="ar-SA"/>
        </w:rPr>
      </w:pPr>
    </w:p>
    <w:p w14:paraId="1E3E4368" w14:textId="77777777" w:rsidR="00207E98" w:rsidRDefault="00207E98" w:rsidP="00510BA6">
      <w:pPr>
        <w:spacing w:after="0"/>
        <w:jc w:val="center"/>
        <w:rPr>
          <w:rFonts w:ascii="Times New Roman" w:hAnsi="Times New Roman"/>
          <w:b/>
          <w:noProof/>
          <w:sz w:val="20"/>
          <w:szCs w:val="20"/>
          <w:lang w:bidi="ar-SA"/>
        </w:rPr>
        <w:sectPr w:rsidR="00207E98" w:rsidSect="00E53370">
          <w:headerReference w:type="even" r:id="rId9"/>
          <w:footerReference w:type="even" r:id="rId10"/>
          <w:type w:val="continuous"/>
          <w:pgSz w:w="12240" w:h="15840" w:code="1"/>
          <w:pgMar w:top="1800" w:right="1469" w:bottom="1699" w:left="1440" w:header="706" w:footer="706" w:gutter="0"/>
          <w:pgNumType w:start="0"/>
          <w:cols w:space="708"/>
          <w:docGrid w:linePitch="360"/>
        </w:sectPr>
      </w:pPr>
    </w:p>
    <w:p w14:paraId="183D362C" w14:textId="04F0A032"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3F45D660" w14:textId="77777777" w:rsidR="00564D15" w:rsidRPr="00564D15" w:rsidRDefault="00564D15" w:rsidP="00564D15">
      <w:pPr>
        <w:spacing w:after="0"/>
        <w:jc w:val="both"/>
        <w:outlineLvl w:val="0"/>
        <w:rPr>
          <w:rFonts w:ascii="Times New Roman" w:hAnsi="Times New Roman"/>
          <w:sz w:val="20"/>
          <w:szCs w:val="20"/>
          <w:lang w:val="en-GB"/>
        </w:rPr>
      </w:pPr>
      <w:r w:rsidRPr="00564D15">
        <w:rPr>
          <w:rFonts w:ascii="Times New Roman" w:hAnsi="Times New Roman"/>
          <w:sz w:val="20"/>
          <w:szCs w:val="20"/>
          <w:lang w:val="en-GB"/>
        </w:rPr>
        <w:t xml:space="preserve">Based on a combination of analytical techniques, the ink from pen samples tested in this study could be discriminated from the others, especially between a ballpoint pen and gel pen inks. Marked differences between the characteristics of these inks were evidently making them readily distinguishable. Nevertheless, a conclusion should not be made solely based on microscopic findings as gel pen inks could show characteristics similar to ballpoint pen inks according to their chemical compositions. The experimental protocol used in this study can be used for the exclusion of different sources of pen inks by comparing the profiles on suspected samples and crime </w:t>
      </w:r>
      <w:r w:rsidRPr="00564D15">
        <w:rPr>
          <w:rFonts w:ascii="Times New Roman" w:hAnsi="Times New Roman"/>
          <w:sz w:val="20"/>
          <w:szCs w:val="20"/>
          <w:lang w:val="en-GB"/>
        </w:rPr>
        <w:t>scene samples. We also highlighted the characteristics of hybrid pen that worth serious attention during a forensic investigation, especially when it is widely used in the future.</w:t>
      </w:r>
    </w:p>
    <w:p w14:paraId="753DF3D1" w14:textId="77777777" w:rsidR="00564D15" w:rsidRPr="00564D15" w:rsidRDefault="00564D15" w:rsidP="00564D15">
      <w:pPr>
        <w:spacing w:after="0"/>
        <w:jc w:val="center"/>
        <w:outlineLvl w:val="0"/>
        <w:rPr>
          <w:rFonts w:ascii="Times New Roman" w:hAnsi="Times New Roman"/>
          <w:sz w:val="20"/>
          <w:szCs w:val="20"/>
          <w:lang w:val="en-GB"/>
        </w:rPr>
      </w:pPr>
    </w:p>
    <w:p w14:paraId="64BF9C0C" w14:textId="77777777" w:rsidR="00564D15" w:rsidRPr="00564D15" w:rsidRDefault="00564D15" w:rsidP="00564D15">
      <w:pPr>
        <w:spacing w:after="0"/>
        <w:jc w:val="center"/>
        <w:outlineLvl w:val="0"/>
        <w:rPr>
          <w:rFonts w:ascii="Times New Roman" w:hAnsi="Times New Roman"/>
          <w:b/>
          <w:sz w:val="20"/>
          <w:szCs w:val="20"/>
          <w:lang w:val="en-GB"/>
        </w:rPr>
      </w:pPr>
      <w:r w:rsidRPr="00564D15">
        <w:rPr>
          <w:rFonts w:ascii="Times New Roman" w:hAnsi="Times New Roman"/>
          <w:b/>
          <w:sz w:val="20"/>
          <w:szCs w:val="20"/>
          <w:lang w:val="en-GB"/>
        </w:rPr>
        <w:t>Acknowledgement</w:t>
      </w:r>
    </w:p>
    <w:p w14:paraId="5D215AFF" w14:textId="25D273C5" w:rsidR="006768E9" w:rsidRPr="00510BA6" w:rsidRDefault="00564D15" w:rsidP="00564D15">
      <w:pPr>
        <w:spacing w:after="0"/>
        <w:jc w:val="both"/>
        <w:rPr>
          <w:rFonts w:ascii="Times New Roman" w:hAnsi="Times New Roman"/>
          <w:noProof/>
          <w:sz w:val="20"/>
          <w:szCs w:val="20"/>
          <w:lang w:bidi="ar-SA"/>
        </w:rPr>
      </w:pPr>
      <w:r w:rsidRPr="00564D15">
        <w:rPr>
          <w:rFonts w:ascii="Times New Roman" w:hAnsi="Times New Roman"/>
          <w:sz w:val="20"/>
          <w:szCs w:val="20"/>
          <w:lang w:val="en-GB"/>
        </w:rPr>
        <w:t>The authors thank the financial support via the Fundamental Research Grant Scheme (FRGS) from the Ministry of Education Malaysia (203/PPSK/6171208).</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763A6DA7" w14:textId="77777777"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1A1B2034" w14:textId="77777777" w:rsidR="00B62B91" w:rsidRPr="00564D15" w:rsidRDefault="00B62B91" w:rsidP="00564D15">
      <w:pPr>
        <w:pStyle w:val="ListParagraph"/>
        <w:widowControl w:val="0"/>
        <w:numPr>
          <w:ilvl w:val="0"/>
          <w:numId w:val="2"/>
        </w:numPr>
        <w:autoSpaceDE w:val="0"/>
        <w:autoSpaceDN w:val="0"/>
        <w:spacing w:after="0"/>
        <w:ind w:left="360" w:hanging="382"/>
        <w:contextualSpacing w:val="0"/>
        <w:jc w:val="both"/>
        <w:outlineLvl w:val="0"/>
        <w:rPr>
          <w:rFonts w:ascii="Times New Roman" w:hAnsi="Times New Roman"/>
          <w:sz w:val="20"/>
          <w:szCs w:val="20"/>
          <w:lang w:val="en-GB"/>
        </w:rPr>
      </w:pPr>
      <w:r w:rsidRPr="00564D15">
        <w:rPr>
          <w:rFonts w:ascii="Times New Roman" w:hAnsi="Times New Roman"/>
          <w:sz w:val="20"/>
          <w:szCs w:val="20"/>
          <w:lang w:val="en-GB"/>
        </w:rPr>
        <w:t xml:space="preserve">Calcerrada, M. and García-Ruiz, C. (2015). Analysis of questioned documents: A review. </w:t>
      </w:r>
      <w:r w:rsidRPr="00564D15">
        <w:rPr>
          <w:rFonts w:ascii="Times New Roman" w:hAnsi="Times New Roman"/>
          <w:i/>
          <w:iCs/>
          <w:sz w:val="20"/>
          <w:szCs w:val="20"/>
          <w:lang w:val="en-GB"/>
        </w:rPr>
        <w:t xml:space="preserve">Analytica Chimica Acta, </w:t>
      </w:r>
      <w:r w:rsidRPr="00564D15">
        <w:rPr>
          <w:rFonts w:ascii="Times New Roman" w:hAnsi="Times New Roman"/>
          <w:sz w:val="20"/>
          <w:szCs w:val="20"/>
          <w:lang w:val="en-GB"/>
        </w:rPr>
        <w:t xml:space="preserve">853: 143-166.              </w:t>
      </w:r>
    </w:p>
    <w:sectPr w:rsidR="00B62B91" w:rsidRPr="00564D15" w:rsidSect="00C63B55">
      <w:type w:val="continuous"/>
      <w:pgSz w:w="12240" w:h="15840" w:code="1"/>
      <w:pgMar w:top="1800" w:right="1469" w:bottom="1699" w:left="1440" w:header="706" w:footer="706" w:gutter="0"/>
      <w:pgNumType w:start="0"/>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8CBD8" w14:textId="63718931" w:rsidR="00F22902" w:rsidRPr="00F22902" w:rsidRDefault="00F22902">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C70453">
      <w:rPr>
        <w:rFonts w:ascii="Times New Roman" w:hAnsi="Times New Roman"/>
        <w:lang w:val="en-MY"/>
      </w:rPr>
      <w:t>594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6D349" w14:textId="77777777" w:rsidR="00C63B55" w:rsidRDefault="00C63B55" w:rsidP="00C63B55">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584 - 595</w:t>
    </w:r>
  </w:p>
  <w:p w14:paraId="02CD570C" w14:textId="77777777" w:rsidR="00C63B55" w:rsidRDefault="00C63B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7D2549A4"/>
    <w:multiLevelType w:val="hybridMultilevel"/>
    <w:tmpl w:val="A24E3C9A"/>
    <w:lvl w:ilvl="0" w:tplc="0409000F">
      <w:start w:val="1"/>
      <w:numFmt w:val="decimal"/>
      <w:lvlText w:val="%1."/>
      <w:lvlJc w:val="left"/>
      <w:pPr>
        <w:ind w:left="2204"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70690"/>
    <w:rsid w:val="00084936"/>
    <w:rsid w:val="000944A8"/>
    <w:rsid w:val="000C49FF"/>
    <w:rsid w:val="000C5261"/>
    <w:rsid w:val="000D28FD"/>
    <w:rsid w:val="000E5AF1"/>
    <w:rsid w:val="000F77DA"/>
    <w:rsid w:val="001068E8"/>
    <w:rsid w:val="00117BCD"/>
    <w:rsid w:val="001B0F9D"/>
    <w:rsid w:val="001D035A"/>
    <w:rsid w:val="001D3855"/>
    <w:rsid w:val="001D6F2C"/>
    <w:rsid w:val="001F72B9"/>
    <w:rsid w:val="002004F5"/>
    <w:rsid w:val="00207E98"/>
    <w:rsid w:val="00221D39"/>
    <w:rsid w:val="002752F0"/>
    <w:rsid w:val="002867F0"/>
    <w:rsid w:val="0029079C"/>
    <w:rsid w:val="0029676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760D4"/>
    <w:rsid w:val="00494C46"/>
    <w:rsid w:val="004A12DD"/>
    <w:rsid w:val="004B43FF"/>
    <w:rsid w:val="00502641"/>
    <w:rsid w:val="00510BA6"/>
    <w:rsid w:val="00534441"/>
    <w:rsid w:val="00542CFC"/>
    <w:rsid w:val="00545363"/>
    <w:rsid w:val="00564D15"/>
    <w:rsid w:val="00567D9E"/>
    <w:rsid w:val="0057659F"/>
    <w:rsid w:val="00583C85"/>
    <w:rsid w:val="00584156"/>
    <w:rsid w:val="005C6768"/>
    <w:rsid w:val="00624C7C"/>
    <w:rsid w:val="00634C25"/>
    <w:rsid w:val="006416AB"/>
    <w:rsid w:val="00672075"/>
    <w:rsid w:val="006768E9"/>
    <w:rsid w:val="00687982"/>
    <w:rsid w:val="0069547D"/>
    <w:rsid w:val="00695D0E"/>
    <w:rsid w:val="006A3A0F"/>
    <w:rsid w:val="006B3EC8"/>
    <w:rsid w:val="006D695E"/>
    <w:rsid w:val="0071018F"/>
    <w:rsid w:val="00725A6A"/>
    <w:rsid w:val="00730CB3"/>
    <w:rsid w:val="00735444"/>
    <w:rsid w:val="007703FE"/>
    <w:rsid w:val="00772E52"/>
    <w:rsid w:val="007859BE"/>
    <w:rsid w:val="007943F3"/>
    <w:rsid w:val="007A738C"/>
    <w:rsid w:val="007B0A7E"/>
    <w:rsid w:val="007B1349"/>
    <w:rsid w:val="007E25BD"/>
    <w:rsid w:val="007F4ECC"/>
    <w:rsid w:val="00801E18"/>
    <w:rsid w:val="00802C35"/>
    <w:rsid w:val="00816289"/>
    <w:rsid w:val="0082181A"/>
    <w:rsid w:val="008538C4"/>
    <w:rsid w:val="0086622B"/>
    <w:rsid w:val="008B02C7"/>
    <w:rsid w:val="008B470E"/>
    <w:rsid w:val="008C14D6"/>
    <w:rsid w:val="008E1211"/>
    <w:rsid w:val="008E5BBF"/>
    <w:rsid w:val="008E6968"/>
    <w:rsid w:val="008F2DC2"/>
    <w:rsid w:val="009110FB"/>
    <w:rsid w:val="00917637"/>
    <w:rsid w:val="00924F61"/>
    <w:rsid w:val="00992776"/>
    <w:rsid w:val="00A05D61"/>
    <w:rsid w:val="00A14DB9"/>
    <w:rsid w:val="00A4762A"/>
    <w:rsid w:val="00A74A7E"/>
    <w:rsid w:val="00A87399"/>
    <w:rsid w:val="00AD1B8A"/>
    <w:rsid w:val="00AD76AF"/>
    <w:rsid w:val="00AE713F"/>
    <w:rsid w:val="00B1121C"/>
    <w:rsid w:val="00B25B65"/>
    <w:rsid w:val="00B2770A"/>
    <w:rsid w:val="00B314AD"/>
    <w:rsid w:val="00B36193"/>
    <w:rsid w:val="00B467EA"/>
    <w:rsid w:val="00B62B91"/>
    <w:rsid w:val="00B7255A"/>
    <w:rsid w:val="00B75BF6"/>
    <w:rsid w:val="00B95E42"/>
    <w:rsid w:val="00BA1F7B"/>
    <w:rsid w:val="00BB223B"/>
    <w:rsid w:val="00BB58AF"/>
    <w:rsid w:val="00BD2480"/>
    <w:rsid w:val="00BE2D36"/>
    <w:rsid w:val="00BE7C30"/>
    <w:rsid w:val="00C055BF"/>
    <w:rsid w:val="00C0756D"/>
    <w:rsid w:val="00C2226A"/>
    <w:rsid w:val="00C63B55"/>
    <w:rsid w:val="00C70453"/>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17493"/>
    <w:rsid w:val="00E229C4"/>
    <w:rsid w:val="00E25547"/>
    <w:rsid w:val="00E2773B"/>
    <w:rsid w:val="00E3287E"/>
    <w:rsid w:val="00E53370"/>
    <w:rsid w:val="00E66197"/>
    <w:rsid w:val="00EB5BA5"/>
    <w:rsid w:val="00EF4195"/>
    <w:rsid w:val="00F202C3"/>
    <w:rsid w:val="00F22902"/>
    <w:rsid w:val="00F23D94"/>
    <w:rsid w:val="00F307D5"/>
    <w:rsid w:val="00F31093"/>
    <w:rsid w:val="00F412AF"/>
    <w:rsid w:val="00F43667"/>
    <w:rsid w:val="00F447A7"/>
    <w:rsid w:val="00F467A2"/>
    <w:rsid w:val="00F567E6"/>
    <w:rsid w:val="00F81122"/>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B62B91"/>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B62B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187</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MJAS Vol 25 No 4 (2021)</vt:lpstr>
    </vt:vector>
  </TitlesOfParts>
  <Company>UKM</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4 (2021)</dc:title>
  <dc:creator>Harun Hj Hamzah</dc:creator>
  <cp:lastModifiedBy>Harun Hamzah</cp:lastModifiedBy>
  <cp:revision>3</cp:revision>
  <dcterms:created xsi:type="dcterms:W3CDTF">2021-08-20T08:22:00Z</dcterms:created>
  <dcterms:modified xsi:type="dcterms:W3CDTF">2021-08-20T08:28:00Z</dcterms:modified>
</cp:coreProperties>
</file>