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A1F81" w14:textId="77777777" w:rsidR="00A23F0F" w:rsidRPr="006E79D9" w:rsidRDefault="00A23F0F" w:rsidP="006E79D9">
      <w:pPr>
        <w:spacing w:after="0"/>
        <w:rPr>
          <w:rFonts w:ascii="Times New Roman" w:hAnsi="Times New Roman" w:cs="Times New Roman"/>
          <w:b/>
          <w:sz w:val="24"/>
          <w:szCs w:val="24"/>
        </w:rPr>
      </w:pPr>
    </w:p>
    <w:p w14:paraId="7055F076" w14:textId="77777777" w:rsidR="00385369" w:rsidRDefault="00385369" w:rsidP="006E79D9">
      <w:pPr>
        <w:spacing w:after="0"/>
        <w:rPr>
          <w:rFonts w:ascii="Times New Roman" w:hAnsi="Times New Roman" w:cs="Times New Roman"/>
          <w:b/>
          <w:i/>
          <w:sz w:val="24"/>
          <w:szCs w:val="24"/>
        </w:rPr>
        <w:sectPr w:rsidR="00385369" w:rsidSect="00385369">
          <w:headerReference w:type="even" r:id="rId7"/>
          <w:headerReference w:type="default" r:id="rId8"/>
          <w:footerReference w:type="even" r:id="rId9"/>
          <w:footerReference w:type="default" r:id="rId10"/>
          <w:headerReference w:type="first" r:id="rId11"/>
          <w:pgSz w:w="12240" w:h="15840" w:code="1"/>
          <w:pgMar w:top="1800" w:right="1469" w:bottom="1699" w:left="1440" w:header="706" w:footer="706" w:gutter="0"/>
          <w:pgNumType w:start="1"/>
          <w:cols w:num="2" w:space="403"/>
          <w:docGrid w:linePitch="360"/>
        </w:sectPr>
      </w:pPr>
    </w:p>
    <w:p w14:paraId="30A75EE6" w14:textId="30DE7466" w:rsidR="003A1F80" w:rsidRPr="001E55BE" w:rsidRDefault="001573E3" w:rsidP="001E55BE">
      <w:pPr>
        <w:spacing w:after="0"/>
        <w:rPr>
          <w:rFonts w:ascii="Times New Roman" w:hAnsi="Times New Roman" w:cs="Times New Roman"/>
          <w:b/>
          <w:i/>
          <w:sz w:val="24"/>
          <w:szCs w:val="24"/>
        </w:rPr>
      </w:pPr>
      <w:r w:rsidRPr="001E55BE">
        <w:rPr>
          <w:rFonts w:ascii="Times New Roman" w:hAnsi="Times New Roman" w:cs="Times New Roman"/>
          <w:b/>
          <w:i/>
          <w:sz w:val="24"/>
          <w:szCs w:val="24"/>
        </w:rPr>
        <w:t>Malaysian Journal of</w:t>
      </w:r>
      <w:r w:rsidR="009A5A4D" w:rsidRPr="001E55BE">
        <w:rPr>
          <w:rFonts w:ascii="Times New Roman" w:hAnsi="Times New Roman" w:cs="Times New Roman"/>
          <w:b/>
          <w:i/>
          <w:sz w:val="24"/>
          <w:szCs w:val="24"/>
        </w:rPr>
        <w:t xml:space="preserve"> Analytical Sciences</w:t>
      </w:r>
      <w:r w:rsidR="003A1F80" w:rsidRPr="001E55BE">
        <w:rPr>
          <w:rFonts w:ascii="Times New Roman" w:hAnsi="Times New Roman" w:cs="Times New Roman"/>
          <w:b/>
          <w:sz w:val="24"/>
          <w:szCs w:val="24"/>
        </w:rPr>
        <w:t xml:space="preserve"> </w:t>
      </w:r>
      <w:r w:rsidR="009A5A4D" w:rsidRPr="001E55BE">
        <w:rPr>
          <w:rFonts w:ascii="Times New Roman" w:hAnsi="Times New Roman" w:cs="Times New Roman"/>
          <w:b/>
          <w:i/>
          <w:sz w:val="24"/>
          <w:szCs w:val="24"/>
        </w:rPr>
        <w:t>Vol 2</w:t>
      </w:r>
      <w:r w:rsidR="00DE20A8" w:rsidRPr="001E55BE">
        <w:rPr>
          <w:rFonts w:ascii="Times New Roman" w:hAnsi="Times New Roman" w:cs="Times New Roman"/>
          <w:b/>
          <w:i/>
          <w:sz w:val="24"/>
          <w:szCs w:val="24"/>
        </w:rPr>
        <w:t>5</w:t>
      </w:r>
      <w:r w:rsidR="009A5A4D" w:rsidRPr="001E55BE">
        <w:rPr>
          <w:rFonts w:ascii="Times New Roman" w:hAnsi="Times New Roman" w:cs="Times New Roman"/>
          <w:b/>
          <w:i/>
          <w:sz w:val="24"/>
          <w:szCs w:val="24"/>
        </w:rPr>
        <w:t xml:space="preserve"> No </w:t>
      </w:r>
      <w:r w:rsidR="00357881">
        <w:rPr>
          <w:rFonts w:ascii="Times New Roman" w:hAnsi="Times New Roman" w:cs="Times New Roman"/>
          <w:b/>
          <w:i/>
          <w:sz w:val="24"/>
          <w:szCs w:val="24"/>
        </w:rPr>
        <w:t>6</w:t>
      </w:r>
      <w:r w:rsidR="00C72F3E" w:rsidRPr="001E55BE">
        <w:rPr>
          <w:rFonts w:ascii="Times New Roman" w:hAnsi="Times New Roman" w:cs="Times New Roman"/>
          <w:b/>
          <w:i/>
          <w:sz w:val="24"/>
          <w:szCs w:val="24"/>
        </w:rPr>
        <w:t xml:space="preserve"> (202</w:t>
      </w:r>
      <w:r w:rsidR="00DE20A8" w:rsidRPr="001E55BE">
        <w:rPr>
          <w:rFonts w:ascii="Times New Roman" w:hAnsi="Times New Roman" w:cs="Times New Roman"/>
          <w:b/>
          <w:i/>
          <w:sz w:val="24"/>
          <w:szCs w:val="24"/>
        </w:rPr>
        <w:t>1</w:t>
      </w:r>
      <w:r w:rsidRPr="001E55BE">
        <w:rPr>
          <w:rFonts w:ascii="Times New Roman" w:hAnsi="Times New Roman" w:cs="Times New Roman"/>
          <w:b/>
          <w:i/>
          <w:sz w:val="24"/>
          <w:szCs w:val="24"/>
        </w:rPr>
        <w:t xml:space="preserve">): </w:t>
      </w:r>
      <w:r w:rsidR="007F08A2">
        <w:rPr>
          <w:rFonts w:ascii="Times New Roman" w:hAnsi="Times New Roman" w:cs="Times New Roman"/>
          <w:b/>
          <w:i/>
          <w:sz w:val="24"/>
          <w:szCs w:val="24"/>
        </w:rPr>
        <w:t>9</w:t>
      </w:r>
      <w:r w:rsidR="00F14150">
        <w:rPr>
          <w:rFonts w:ascii="Times New Roman" w:hAnsi="Times New Roman" w:cs="Times New Roman"/>
          <w:b/>
          <w:i/>
          <w:sz w:val="24"/>
          <w:szCs w:val="24"/>
        </w:rPr>
        <w:t>98</w:t>
      </w:r>
      <w:r w:rsidR="009B31A6">
        <w:rPr>
          <w:rFonts w:ascii="Times New Roman" w:hAnsi="Times New Roman" w:cs="Times New Roman"/>
          <w:b/>
          <w:i/>
          <w:sz w:val="24"/>
          <w:szCs w:val="24"/>
        </w:rPr>
        <w:t xml:space="preserve"> - </w:t>
      </w:r>
      <w:r w:rsidR="00F14150">
        <w:rPr>
          <w:rFonts w:ascii="Times New Roman" w:hAnsi="Times New Roman" w:cs="Times New Roman"/>
          <w:b/>
          <w:i/>
          <w:sz w:val="24"/>
          <w:szCs w:val="24"/>
        </w:rPr>
        <w:t>1006</w:t>
      </w:r>
    </w:p>
    <w:p w14:paraId="1FF05887" w14:textId="3C39B716" w:rsidR="00095557" w:rsidRDefault="00095557" w:rsidP="001E55BE">
      <w:pPr>
        <w:spacing w:after="0"/>
        <w:rPr>
          <w:rFonts w:ascii="Times New Roman" w:hAnsi="Times New Roman" w:cs="Times New Roman"/>
          <w:sz w:val="24"/>
          <w:szCs w:val="24"/>
        </w:rPr>
      </w:pPr>
    </w:p>
    <w:p w14:paraId="0D319752" w14:textId="4286CD7A" w:rsidR="00185EDF" w:rsidRDefault="00185EDF" w:rsidP="001E55BE">
      <w:pPr>
        <w:spacing w:after="0"/>
        <w:rPr>
          <w:rFonts w:ascii="Times New Roman" w:hAnsi="Times New Roman" w:cs="Times New Roman"/>
          <w:sz w:val="24"/>
          <w:szCs w:val="24"/>
        </w:rPr>
      </w:pPr>
    </w:p>
    <w:p w14:paraId="48858CFF" w14:textId="467EFE02" w:rsidR="00185EDF" w:rsidRDefault="00185EDF" w:rsidP="001E55BE">
      <w:pPr>
        <w:spacing w:after="0"/>
        <w:rPr>
          <w:rFonts w:ascii="Times New Roman" w:hAnsi="Times New Roman" w:cs="Times New Roman"/>
          <w:sz w:val="24"/>
          <w:szCs w:val="24"/>
        </w:rPr>
      </w:pPr>
    </w:p>
    <w:p w14:paraId="10E377BC" w14:textId="28FDE7B9" w:rsidR="00185EDF" w:rsidRDefault="00185EDF" w:rsidP="001E55BE">
      <w:pPr>
        <w:spacing w:after="0"/>
        <w:rPr>
          <w:rFonts w:ascii="Times New Roman" w:hAnsi="Times New Roman" w:cs="Times New Roman"/>
          <w:sz w:val="24"/>
          <w:szCs w:val="24"/>
        </w:rPr>
      </w:pPr>
    </w:p>
    <w:p w14:paraId="5D99CF0A" w14:textId="77777777" w:rsidR="00F14150" w:rsidRPr="00B131C6" w:rsidRDefault="00F14150" w:rsidP="00F14150">
      <w:pPr>
        <w:spacing w:after="0"/>
        <w:jc w:val="center"/>
        <w:outlineLvl w:val="0"/>
        <w:rPr>
          <w:rFonts w:ascii="Times New Roman" w:hAnsi="Times New Roman"/>
          <w:sz w:val="28"/>
          <w:szCs w:val="28"/>
        </w:rPr>
      </w:pPr>
      <w:r w:rsidRPr="00B131C6">
        <w:rPr>
          <w:rFonts w:ascii="Times New Roman" w:hAnsi="Times New Roman"/>
          <w:sz w:val="28"/>
          <w:szCs w:val="28"/>
        </w:rPr>
        <w:t>ANALYSIS OF SUGAR CONTENT IN SELECTED CHILDREN’S HEALTH SUPPLEMENTS IN MALAYSIA</w:t>
      </w:r>
    </w:p>
    <w:p w14:paraId="70A890F7" w14:textId="77777777" w:rsidR="00F14150" w:rsidRPr="00B131C6" w:rsidRDefault="00F14150" w:rsidP="00F14150">
      <w:pPr>
        <w:spacing w:after="0"/>
        <w:jc w:val="center"/>
        <w:outlineLvl w:val="0"/>
        <w:rPr>
          <w:rFonts w:ascii="Times New Roman" w:hAnsi="Times New Roman"/>
          <w:b/>
          <w:color w:val="548DD4" w:themeColor="text2" w:themeTint="99"/>
          <w:sz w:val="24"/>
          <w:szCs w:val="24"/>
        </w:rPr>
      </w:pPr>
    </w:p>
    <w:p w14:paraId="0DCE47DF" w14:textId="77777777" w:rsidR="00F14150" w:rsidRPr="00B131C6" w:rsidRDefault="00F14150" w:rsidP="00F14150">
      <w:pPr>
        <w:spacing w:after="0"/>
        <w:jc w:val="center"/>
        <w:outlineLvl w:val="0"/>
        <w:rPr>
          <w:rFonts w:ascii="Times New Roman" w:hAnsi="Times New Roman"/>
          <w:noProof/>
          <w:sz w:val="24"/>
          <w:szCs w:val="24"/>
          <w:lang w:val="ms-MY"/>
        </w:rPr>
      </w:pPr>
      <w:r w:rsidRPr="00B131C6">
        <w:rPr>
          <w:rFonts w:ascii="Times New Roman" w:hAnsi="Times New Roman"/>
          <w:noProof/>
          <w:sz w:val="24"/>
          <w:szCs w:val="24"/>
          <w:lang w:val="ms-MY"/>
        </w:rPr>
        <w:t>(Analisa Kandungan Gula dalam Suplemen Kesihatan Kanak-Kanak Terpilih yang Biasa didapati di Malaysia)</w:t>
      </w:r>
    </w:p>
    <w:p w14:paraId="3DA7FE78" w14:textId="77777777" w:rsidR="00F14150" w:rsidRPr="00B131C6" w:rsidRDefault="00F14150" w:rsidP="00F14150">
      <w:pPr>
        <w:spacing w:after="0"/>
        <w:jc w:val="center"/>
        <w:outlineLvl w:val="0"/>
        <w:rPr>
          <w:rFonts w:ascii="Times New Roman" w:hAnsi="Times New Roman"/>
          <w:b/>
          <w:noProof/>
          <w:color w:val="548DD4" w:themeColor="text2" w:themeTint="99"/>
          <w:sz w:val="20"/>
          <w:szCs w:val="20"/>
          <w:lang w:val="ms-MY"/>
        </w:rPr>
      </w:pPr>
    </w:p>
    <w:p w14:paraId="70DA0DDE" w14:textId="77777777" w:rsidR="00F14150" w:rsidRPr="00B131C6" w:rsidRDefault="00F14150" w:rsidP="00F14150">
      <w:pPr>
        <w:spacing w:after="0"/>
        <w:jc w:val="center"/>
        <w:outlineLvl w:val="0"/>
        <w:rPr>
          <w:rFonts w:ascii="Times New Roman" w:hAnsi="Times New Roman"/>
          <w:noProof/>
          <w:sz w:val="20"/>
          <w:szCs w:val="20"/>
          <w:lang w:val="ms-MY"/>
        </w:rPr>
      </w:pPr>
      <w:r w:rsidRPr="00B131C6">
        <w:rPr>
          <w:rFonts w:ascii="Times New Roman" w:hAnsi="Times New Roman"/>
          <w:noProof/>
          <w:sz w:val="20"/>
          <w:szCs w:val="20"/>
          <w:lang w:val="ms-MY"/>
        </w:rPr>
        <w:t>Siok-Yee Chan</w:t>
      </w:r>
      <w:r w:rsidRPr="00B131C6">
        <w:rPr>
          <w:rFonts w:ascii="Times New Roman" w:hAnsi="Times New Roman"/>
          <w:noProof/>
          <w:sz w:val="20"/>
          <w:szCs w:val="20"/>
          <w:vertAlign w:val="superscript"/>
          <w:lang w:val="ms-MY"/>
        </w:rPr>
        <w:t>1</w:t>
      </w:r>
      <w:r w:rsidRPr="00B131C6">
        <w:rPr>
          <w:rFonts w:ascii="Times New Roman" w:hAnsi="Times New Roman"/>
          <w:noProof/>
          <w:sz w:val="20"/>
          <w:szCs w:val="20"/>
          <w:lang w:val="ms-MY"/>
        </w:rPr>
        <w:t>, Mazidatulakmam Miskam</w:t>
      </w:r>
      <w:r w:rsidRPr="00B131C6">
        <w:rPr>
          <w:rFonts w:ascii="Times New Roman" w:hAnsi="Times New Roman"/>
          <w:noProof/>
          <w:sz w:val="20"/>
          <w:szCs w:val="20"/>
          <w:vertAlign w:val="superscript"/>
          <w:lang w:val="ms-MY"/>
        </w:rPr>
        <w:t>2</w:t>
      </w:r>
      <w:r w:rsidRPr="00B131C6">
        <w:rPr>
          <w:rFonts w:ascii="Times New Roman" w:hAnsi="Times New Roman"/>
          <w:noProof/>
          <w:sz w:val="20"/>
          <w:szCs w:val="20"/>
          <w:lang w:val="ms-MY"/>
        </w:rPr>
        <w:t>, Shangeetha Ganesan</w:t>
      </w:r>
      <w:r w:rsidRPr="00B131C6">
        <w:rPr>
          <w:rFonts w:ascii="Times New Roman" w:hAnsi="Times New Roman"/>
          <w:noProof/>
          <w:sz w:val="20"/>
          <w:szCs w:val="20"/>
          <w:vertAlign w:val="superscript"/>
          <w:lang w:val="ms-MY"/>
        </w:rPr>
        <w:t>2</w:t>
      </w:r>
      <w:r w:rsidRPr="00B131C6">
        <w:rPr>
          <w:rFonts w:ascii="Times New Roman" w:hAnsi="Times New Roman"/>
          <w:noProof/>
          <w:sz w:val="20"/>
          <w:szCs w:val="20"/>
          <w:lang w:val="ms-MY"/>
        </w:rPr>
        <w:t>*</w:t>
      </w:r>
    </w:p>
    <w:p w14:paraId="7852FA67" w14:textId="77777777" w:rsidR="00F14150" w:rsidRPr="00F14150" w:rsidRDefault="00F14150" w:rsidP="00F14150">
      <w:pPr>
        <w:spacing w:after="0"/>
        <w:jc w:val="center"/>
        <w:outlineLvl w:val="0"/>
        <w:rPr>
          <w:rFonts w:ascii="Times New Roman" w:hAnsi="Times New Roman"/>
          <w:b/>
          <w:noProof/>
          <w:color w:val="FF0000"/>
          <w:sz w:val="20"/>
          <w:szCs w:val="20"/>
          <w:lang w:val="ms-MY"/>
        </w:rPr>
      </w:pPr>
    </w:p>
    <w:p w14:paraId="225D2BE5" w14:textId="77777777" w:rsidR="00F14150" w:rsidRPr="00F14150" w:rsidRDefault="00F14150" w:rsidP="00F14150">
      <w:pPr>
        <w:spacing w:after="0"/>
        <w:jc w:val="center"/>
        <w:outlineLvl w:val="0"/>
        <w:rPr>
          <w:rFonts w:ascii="Times New Roman" w:hAnsi="Times New Roman"/>
          <w:i/>
          <w:noProof/>
          <w:sz w:val="20"/>
          <w:szCs w:val="20"/>
          <w:lang w:val="ms-MY"/>
        </w:rPr>
      </w:pPr>
      <w:r w:rsidRPr="00F14150">
        <w:rPr>
          <w:rFonts w:ascii="Times New Roman" w:hAnsi="Times New Roman"/>
          <w:i/>
          <w:noProof/>
          <w:sz w:val="20"/>
          <w:szCs w:val="20"/>
          <w:vertAlign w:val="superscript"/>
          <w:lang w:val="ms-MY"/>
        </w:rPr>
        <w:t>1</w:t>
      </w:r>
      <w:r w:rsidRPr="00F14150">
        <w:rPr>
          <w:rFonts w:ascii="Times New Roman" w:hAnsi="Times New Roman"/>
          <w:i/>
          <w:noProof/>
          <w:sz w:val="20"/>
          <w:szCs w:val="20"/>
          <w:lang w:val="ms-MY"/>
        </w:rPr>
        <w:t xml:space="preserve">School of Pharmaceutical Sciences </w:t>
      </w:r>
    </w:p>
    <w:p w14:paraId="6B69A803" w14:textId="77777777" w:rsidR="00F14150" w:rsidRPr="00F14150" w:rsidRDefault="00F14150" w:rsidP="00F14150">
      <w:pPr>
        <w:spacing w:after="0"/>
        <w:jc w:val="center"/>
        <w:outlineLvl w:val="0"/>
        <w:rPr>
          <w:rFonts w:ascii="Times New Roman" w:hAnsi="Times New Roman"/>
          <w:i/>
          <w:noProof/>
          <w:sz w:val="20"/>
          <w:szCs w:val="20"/>
          <w:lang w:val="ms-MY"/>
        </w:rPr>
      </w:pPr>
      <w:r w:rsidRPr="00F14150">
        <w:rPr>
          <w:rFonts w:ascii="Times New Roman" w:hAnsi="Times New Roman"/>
          <w:i/>
          <w:noProof/>
          <w:sz w:val="20"/>
          <w:szCs w:val="20"/>
          <w:vertAlign w:val="superscript"/>
          <w:lang w:val="ms-MY"/>
        </w:rPr>
        <w:t>2</w:t>
      </w:r>
      <w:r w:rsidRPr="00F14150">
        <w:rPr>
          <w:rFonts w:ascii="Times New Roman" w:hAnsi="Times New Roman"/>
          <w:i/>
          <w:noProof/>
          <w:sz w:val="20"/>
          <w:szCs w:val="20"/>
          <w:lang w:val="ms-MY"/>
        </w:rPr>
        <w:t>School of Chemical Sciences</w:t>
      </w:r>
    </w:p>
    <w:p w14:paraId="4F5F614B" w14:textId="77777777" w:rsidR="00F14150" w:rsidRPr="00F14150" w:rsidRDefault="00F14150" w:rsidP="00F14150">
      <w:pPr>
        <w:spacing w:after="0"/>
        <w:jc w:val="center"/>
        <w:outlineLvl w:val="0"/>
        <w:rPr>
          <w:rFonts w:ascii="Times New Roman" w:hAnsi="Times New Roman"/>
          <w:i/>
          <w:noProof/>
          <w:sz w:val="20"/>
          <w:szCs w:val="20"/>
          <w:lang w:val="ms-MY"/>
        </w:rPr>
      </w:pPr>
      <w:r w:rsidRPr="00F14150">
        <w:rPr>
          <w:rFonts w:ascii="Times New Roman" w:hAnsi="Times New Roman"/>
          <w:i/>
          <w:noProof/>
          <w:sz w:val="20"/>
          <w:szCs w:val="20"/>
          <w:lang w:val="ms-MY"/>
        </w:rPr>
        <w:t>Universiti Sains Malaysia, 11800 USM, Penang, Malaysia</w:t>
      </w:r>
    </w:p>
    <w:p w14:paraId="19244ACC" w14:textId="77777777" w:rsidR="00F14150" w:rsidRPr="00F14150" w:rsidRDefault="00F14150" w:rsidP="00F14150">
      <w:pPr>
        <w:spacing w:after="0"/>
        <w:jc w:val="center"/>
        <w:outlineLvl w:val="0"/>
        <w:rPr>
          <w:rFonts w:ascii="Times New Roman" w:hAnsi="Times New Roman"/>
          <w:b/>
          <w:noProof/>
          <w:color w:val="548DD4" w:themeColor="text2" w:themeTint="99"/>
          <w:sz w:val="20"/>
          <w:szCs w:val="20"/>
          <w:lang w:val="ms-MY"/>
        </w:rPr>
      </w:pPr>
    </w:p>
    <w:p w14:paraId="205631B4" w14:textId="77777777" w:rsidR="00F14150" w:rsidRPr="00F14150" w:rsidRDefault="00F14150" w:rsidP="00F14150">
      <w:pPr>
        <w:spacing w:after="0"/>
        <w:jc w:val="center"/>
        <w:outlineLvl w:val="0"/>
        <w:rPr>
          <w:rFonts w:ascii="Times New Roman" w:hAnsi="Times New Roman"/>
          <w:i/>
          <w:noProof/>
          <w:color w:val="548DD4" w:themeColor="text2" w:themeTint="99"/>
          <w:sz w:val="20"/>
          <w:szCs w:val="20"/>
          <w:lang w:val="ms-MY"/>
        </w:rPr>
      </w:pPr>
      <w:r w:rsidRPr="00F14150">
        <w:rPr>
          <w:rFonts w:ascii="Times New Roman" w:hAnsi="Times New Roman"/>
          <w:i/>
          <w:noProof/>
          <w:sz w:val="20"/>
          <w:szCs w:val="20"/>
          <w:lang w:val="ms-MY"/>
        </w:rPr>
        <w:t>*Corresponding author:  shangeetha@usm.my</w:t>
      </w:r>
    </w:p>
    <w:p w14:paraId="25BD85B5" w14:textId="77777777" w:rsidR="00F14150" w:rsidRPr="00F14150" w:rsidRDefault="00F14150" w:rsidP="00F14150">
      <w:pPr>
        <w:spacing w:after="0"/>
        <w:jc w:val="center"/>
        <w:rPr>
          <w:rFonts w:ascii="Times New Roman" w:hAnsi="Times New Roman"/>
          <w:noProof/>
          <w:sz w:val="20"/>
          <w:szCs w:val="20"/>
        </w:rPr>
      </w:pPr>
    </w:p>
    <w:p w14:paraId="72BF36E2" w14:textId="77777777" w:rsidR="00F14150" w:rsidRPr="00F14150" w:rsidRDefault="00F14150" w:rsidP="00F14150">
      <w:pPr>
        <w:spacing w:after="0"/>
        <w:jc w:val="center"/>
        <w:rPr>
          <w:rFonts w:ascii="Times New Roman" w:hAnsi="Times New Roman"/>
          <w:noProof/>
          <w:sz w:val="20"/>
          <w:szCs w:val="20"/>
        </w:rPr>
      </w:pPr>
    </w:p>
    <w:p w14:paraId="2CA97CE8" w14:textId="77777777" w:rsidR="00F14150" w:rsidRPr="00F14150" w:rsidRDefault="00F14150" w:rsidP="00F14150">
      <w:pPr>
        <w:spacing w:after="0"/>
        <w:jc w:val="center"/>
        <w:rPr>
          <w:rFonts w:ascii="Times New Roman" w:hAnsi="Times New Roman"/>
          <w:noProof/>
          <w:sz w:val="20"/>
          <w:szCs w:val="20"/>
        </w:rPr>
      </w:pPr>
      <w:r w:rsidRPr="00F14150">
        <w:rPr>
          <w:rFonts w:ascii="Times New Roman" w:hAnsi="Times New Roman"/>
          <w:noProof/>
          <w:sz w:val="20"/>
          <w:szCs w:val="20"/>
        </w:rPr>
        <w:t>Received:  24 September 2021; Accepted: 7 November 2021; Published:  xx December 2021</w:t>
      </w:r>
    </w:p>
    <w:p w14:paraId="7D298D0B" w14:textId="77777777" w:rsidR="00F14150" w:rsidRPr="00F14150" w:rsidRDefault="00F14150" w:rsidP="00F14150">
      <w:pPr>
        <w:spacing w:after="0"/>
        <w:jc w:val="center"/>
        <w:rPr>
          <w:rFonts w:ascii="Times New Roman" w:hAnsi="Times New Roman"/>
          <w:noProof/>
          <w:sz w:val="20"/>
          <w:szCs w:val="20"/>
        </w:rPr>
      </w:pPr>
    </w:p>
    <w:p w14:paraId="3E14EB1D" w14:textId="77777777" w:rsidR="00F14150" w:rsidRPr="00F14150" w:rsidRDefault="00F14150" w:rsidP="00F14150">
      <w:pPr>
        <w:spacing w:after="0"/>
        <w:jc w:val="center"/>
        <w:rPr>
          <w:rFonts w:ascii="Times New Roman" w:hAnsi="Times New Roman"/>
          <w:noProof/>
          <w:sz w:val="20"/>
          <w:szCs w:val="20"/>
        </w:rPr>
      </w:pPr>
    </w:p>
    <w:p w14:paraId="438C84C9" w14:textId="77777777" w:rsidR="00F14150" w:rsidRPr="00F14150" w:rsidRDefault="00F14150" w:rsidP="00F14150">
      <w:pPr>
        <w:spacing w:after="0"/>
        <w:jc w:val="center"/>
        <w:rPr>
          <w:rFonts w:ascii="Times New Roman" w:hAnsi="Times New Roman"/>
          <w:b/>
          <w:noProof/>
          <w:sz w:val="20"/>
          <w:szCs w:val="20"/>
        </w:rPr>
      </w:pPr>
      <w:r w:rsidRPr="00F14150">
        <w:rPr>
          <w:rFonts w:ascii="Times New Roman" w:hAnsi="Times New Roman"/>
          <w:b/>
          <w:noProof/>
          <w:sz w:val="20"/>
          <w:szCs w:val="20"/>
        </w:rPr>
        <w:t>Abstract</w:t>
      </w:r>
    </w:p>
    <w:p w14:paraId="00CEF747" w14:textId="77777777" w:rsidR="00F14150" w:rsidRPr="00F14150" w:rsidRDefault="00F14150" w:rsidP="00F14150">
      <w:pPr>
        <w:spacing w:after="0"/>
        <w:jc w:val="both"/>
        <w:outlineLvl w:val="0"/>
        <w:rPr>
          <w:rFonts w:ascii="Times New Roman" w:hAnsi="Times New Roman"/>
          <w:sz w:val="20"/>
          <w:szCs w:val="20"/>
        </w:rPr>
      </w:pPr>
      <w:r w:rsidRPr="00F14150">
        <w:rPr>
          <w:rFonts w:ascii="Times New Roman" w:hAnsi="Times New Roman"/>
          <w:sz w:val="20"/>
          <w:szCs w:val="20"/>
        </w:rPr>
        <w:t>The aim of this study is to investigate the prevalence of the various types of sugars in over-the-counter children’s health supplements that are commonly available in Malaysia. In this study, a total of 13 children’s health supplement samples of four different brands (tablets, pastilles, gummies) of various flavors (orange, blackcurrant, strawberry, mixed berries, mango and peach) were sent to an independent laboratory and analyzed for the presence of fructose, glucose, galactose, sucrose, maltose, lactose and total sugar content. The sugar profiling was carried out using HPLC with refractive index (RI) detector. The results showed that all brands contain a considerable amount of sugar as compared to the label claimed active content. Although this is expected, as it is important for addition of sugars in supplements targeting children especially for ease of consumption. Peach flavored pastilles were found to contain the most amount of sucrose per piece followed by strawberry flavored gummies. Through this study we found that certain flavoring calls for more sugar content as compared to others. The findings further provide support for the need of more comprehensive sugar content and active ingredients labelling in health supplements.</w:t>
      </w:r>
    </w:p>
    <w:p w14:paraId="1EF1139F" w14:textId="77777777" w:rsidR="00F14150" w:rsidRPr="00F14150" w:rsidRDefault="00F14150" w:rsidP="00F14150">
      <w:pPr>
        <w:spacing w:after="0"/>
        <w:jc w:val="both"/>
        <w:outlineLvl w:val="0"/>
        <w:rPr>
          <w:rFonts w:ascii="Times New Roman" w:hAnsi="Times New Roman"/>
          <w:sz w:val="20"/>
          <w:szCs w:val="20"/>
        </w:rPr>
      </w:pPr>
    </w:p>
    <w:p w14:paraId="218A706A" w14:textId="77777777" w:rsidR="00F14150" w:rsidRPr="00F14150" w:rsidRDefault="00F14150" w:rsidP="00F14150">
      <w:pPr>
        <w:spacing w:after="0"/>
        <w:jc w:val="both"/>
        <w:outlineLvl w:val="0"/>
        <w:rPr>
          <w:rFonts w:ascii="Times New Roman" w:hAnsi="Times New Roman"/>
          <w:color w:val="548DD4" w:themeColor="text2" w:themeTint="99"/>
          <w:sz w:val="20"/>
          <w:szCs w:val="20"/>
        </w:rPr>
      </w:pPr>
      <w:r w:rsidRPr="00F14150">
        <w:rPr>
          <w:rFonts w:ascii="Times New Roman" w:hAnsi="Times New Roman"/>
          <w:b/>
          <w:sz w:val="20"/>
          <w:szCs w:val="20"/>
        </w:rPr>
        <w:t>Keywords</w:t>
      </w:r>
      <w:r w:rsidRPr="00F14150">
        <w:rPr>
          <w:rFonts w:ascii="Times New Roman" w:hAnsi="Times New Roman"/>
          <w:b/>
          <w:bCs/>
          <w:sz w:val="20"/>
          <w:szCs w:val="20"/>
        </w:rPr>
        <w:t xml:space="preserve">:  </w:t>
      </w:r>
      <w:r w:rsidRPr="00F14150">
        <w:rPr>
          <w:rFonts w:ascii="Times New Roman" w:hAnsi="Times New Roman"/>
          <w:sz w:val="20"/>
          <w:szCs w:val="20"/>
        </w:rPr>
        <w:t>health supplement, sugar, children, Malaysia, flavor</w:t>
      </w:r>
    </w:p>
    <w:p w14:paraId="57075395" w14:textId="77777777" w:rsidR="00F14150" w:rsidRPr="00F14150" w:rsidRDefault="00F14150" w:rsidP="00F14150">
      <w:pPr>
        <w:spacing w:after="0"/>
        <w:jc w:val="center"/>
        <w:outlineLvl w:val="0"/>
        <w:rPr>
          <w:rFonts w:ascii="Times New Roman" w:hAnsi="Times New Roman"/>
          <w:b/>
          <w:color w:val="548DD4" w:themeColor="text2" w:themeTint="99"/>
          <w:sz w:val="20"/>
          <w:szCs w:val="20"/>
        </w:rPr>
      </w:pPr>
    </w:p>
    <w:p w14:paraId="4F1E5EBF" w14:textId="77777777" w:rsidR="00F14150" w:rsidRPr="00F14150" w:rsidRDefault="00F14150" w:rsidP="00F14150">
      <w:pPr>
        <w:spacing w:after="0"/>
        <w:jc w:val="center"/>
        <w:outlineLvl w:val="0"/>
        <w:rPr>
          <w:rFonts w:ascii="Times New Roman" w:hAnsi="Times New Roman"/>
          <w:b/>
          <w:noProof/>
          <w:sz w:val="20"/>
          <w:szCs w:val="20"/>
          <w:lang w:val="ms-MY"/>
        </w:rPr>
      </w:pPr>
      <w:r w:rsidRPr="00F14150">
        <w:rPr>
          <w:rFonts w:ascii="Times New Roman" w:hAnsi="Times New Roman"/>
          <w:b/>
          <w:noProof/>
          <w:sz w:val="20"/>
          <w:szCs w:val="20"/>
          <w:lang w:val="ms-MY"/>
        </w:rPr>
        <w:t>Abstrak</w:t>
      </w:r>
    </w:p>
    <w:p w14:paraId="5B259EDA" w14:textId="77777777" w:rsidR="00F14150" w:rsidRPr="00F14150" w:rsidRDefault="00F14150" w:rsidP="00F14150">
      <w:pPr>
        <w:spacing w:after="0"/>
        <w:jc w:val="both"/>
        <w:outlineLvl w:val="0"/>
        <w:rPr>
          <w:rFonts w:ascii="Times New Roman" w:hAnsi="Times New Roman"/>
          <w:noProof/>
          <w:sz w:val="20"/>
          <w:szCs w:val="20"/>
          <w:lang w:val="ms-MY"/>
        </w:rPr>
      </w:pPr>
      <w:r w:rsidRPr="00F14150">
        <w:rPr>
          <w:rFonts w:ascii="Times New Roman" w:hAnsi="Times New Roman"/>
          <w:noProof/>
          <w:sz w:val="20"/>
          <w:szCs w:val="20"/>
          <w:lang w:val="ms-MY"/>
        </w:rPr>
        <w:t xml:space="preserve">Tujuan kajian ini adalah untuk menyelidik kelaziman pelbagai jenis gula dalam suplemen kesihatan kanak-kanak yang biasanya terdapat di kaunter di Malaysia. Dalam kajian ini, sebanyak 13 sampel suplemen kesihatan kanak-kanak dari empat jenama yang berbeza (tablet, pastil, gummies) dengan pelbagai rasa (oren, anggur hitam, strawberi, campuran beri, mangga dan pic) telah dihantar ke makmal bebas dan dianalisis untuk menentukan kehadiran fruktosa, </w:t>
      </w:r>
      <w:r w:rsidRPr="00F14150">
        <w:rPr>
          <w:rFonts w:ascii="Times New Roman" w:hAnsi="Times New Roman"/>
          <w:noProof/>
          <w:sz w:val="20"/>
          <w:szCs w:val="20"/>
          <w:lang w:val="ms-MY"/>
        </w:rPr>
        <w:lastRenderedPageBreak/>
        <w:t xml:space="preserve">glukosa, galaktosa, sukrosa, maltosa, laktosa dan jumlah kandungan gula. Profil gula dilakukan menggunakan HPLC dengan detektor indeks biasan (RI). Hasil kajian menunjukkan bahawa semua jenama mengandungi kandungan gula yang agak tinggi berbanding dengan label yang menyatakan kandungan aktifnya. Keputusan ini telah dijangkakan kerana penambahan gula dalam makanan tambahan untuk kanak-kanak memudahkan pengambilan. Pastil berperisa pic didapati mengandungi jumlah sukrosa paling banyak per pastil diikuti dengan gummies berperisa strawberi. Melalui kajian ini, kami mendapati bahawa perasa tertentu memerlukan lebih banyak kandungan gula berbanding yang lain. Penemuan ini memberikan maklumat tentang perlabelan keperluan kandungan gula yang lebih komprehensif dan bahan aktif dalam suplemen kesihatan. </w:t>
      </w:r>
    </w:p>
    <w:p w14:paraId="4D4BE663" w14:textId="77777777" w:rsidR="00F14150" w:rsidRPr="00F14150" w:rsidRDefault="00F14150" w:rsidP="00F14150">
      <w:pPr>
        <w:spacing w:after="0"/>
        <w:jc w:val="both"/>
        <w:outlineLvl w:val="0"/>
        <w:rPr>
          <w:rFonts w:ascii="Times New Roman" w:hAnsi="Times New Roman"/>
          <w:noProof/>
          <w:sz w:val="20"/>
          <w:szCs w:val="20"/>
          <w:lang w:val="ms-MY"/>
        </w:rPr>
      </w:pPr>
    </w:p>
    <w:p w14:paraId="73D251F5" w14:textId="627FA1BB" w:rsidR="00F14150" w:rsidRDefault="00F14150" w:rsidP="00F14150">
      <w:pPr>
        <w:spacing w:after="0"/>
        <w:jc w:val="both"/>
        <w:outlineLvl w:val="0"/>
        <w:rPr>
          <w:rFonts w:ascii="Times New Roman" w:hAnsi="Times New Roman"/>
          <w:bCs/>
          <w:noProof/>
          <w:sz w:val="20"/>
          <w:szCs w:val="20"/>
          <w:lang w:val="ms-MY"/>
        </w:rPr>
      </w:pPr>
      <w:r w:rsidRPr="00F14150">
        <w:rPr>
          <w:rFonts w:ascii="Times New Roman" w:hAnsi="Times New Roman"/>
          <w:b/>
          <w:noProof/>
          <w:sz w:val="20"/>
          <w:szCs w:val="20"/>
          <w:lang w:val="ms-MY"/>
        </w:rPr>
        <w:t xml:space="preserve">Kata kunci:  </w:t>
      </w:r>
      <w:r w:rsidRPr="00F14150">
        <w:rPr>
          <w:rFonts w:ascii="Times New Roman" w:hAnsi="Times New Roman"/>
          <w:bCs/>
          <w:noProof/>
          <w:sz w:val="20"/>
          <w:szCs w:val="20"/>
          <w:lang w:val="ms-MY"/>
        </w:rPr>
        <w:t>suplemen kesihatan; gula; kanak-kanak, Malaysia, perisa</w:t>
      </w:r>
    </w:p>
    <w:p w14:paraId="556C7C77" w14:textId="3DEFD2E6" w:rsidR="00F14150" w:rsidRDefault="00F14150" w:rsidP="00F14150">
      <w:pPr>
        <w:spacing w:after="0"/>
        <w:jc w:val="both"/>
        <w:outlineLvl w:val="0"/>
        <w:rPr>
          <w:rFonts w:ascii="Times New Roman" w:hAnsi="Times New Roman"/>
          <w:bCs/>
          <w:noProof/>
          <w:sz w:val="20"/>
          <w:szCs w:val="20"/>
          <w:lang w:val="ms-MY"/>
        </w:rPr>
      </w:pPr>
    </w:p>
    <w:p w14:paraId="3024C9BC" w14:textId="77777777" w:rsidR="00F14150" w:rsidRPr="002E12D2" w:rsidRDefault="00F14150" w:rsidP="00F14150">
      <w:pPr>
        <w:spacing w:after="0"/>
        <w:jc w:val="center"/>
        <w:outlineLvl w:val="0"/>
        <w:rPr>
          <w:rFonts w:ascii="Times New Roman" w:hAnsi="Times New Roman"/>
          <w:b/>
          <w:sz w:val="20"/>
          <w:szCs w:val="20"/>
        </w:rPr>
      </w:pPr>
      <w:r w:rsidRPr="002E12D2">
        <w:rPr>
          <w:rFonts w:ascii="Times New Roman" w:hAnsi="Times New Roman"/>
          <w:b/>
          <w:sz w:val="20"/>
          <w:szCs w:val="20"/>
        </w:rPr>
        <w:t>References</w:t>
      </w:r>
    </w:p>
    <w:p w14:paraId="0E5C0838"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Almoazen H. Chapter 4: Dosage forms and drug delivery systems. In the APhA complete review for pharmacy, 12</w:t>
      </w:r>
      <w:r w:rsidRPr="002E12D2">
        <w:rPr>
          <w:rFonts w:ascii="Times New Roman" w:hAnsi="Times New Roman"/>
          <w:sz w:val="20"/>
          <w:vertAlign w:val="superscript"/>
        </w:rPr>
        <w:t>th</w:t>
      </w:r>
      <w:r w:rsidRPr="002E12D2">
        <w:rPr>
          <w:rFonts w:ascii="Times New Roman" w:hAnsi="Times New Roman"/>
          <w:sz w:val="20"/>
        </w:rPr>
        <w:t xml:space="preserve"> edition; The American Pharmacists Association, 2017.</w:t>
      </w:r>
    </w:p>
    <w:p w14:paraId="7BB3F46D"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Moreira, M., and Sarraguça, M. (2017). How can oral paediatric formulations be improved? A challenge for the XXI Century. </w:t>
      </w:r>
      <w:r w:rsidRPr="002E12D2">
        <w:rPr>
          <w:rFonts w:ascii="Times New Roman" w:hAnsi="Times New Roman"/>
          <w:i/>
          <w:iCs/>
          <w:sz w:val="20"/>
        </w:rPr>
        <w:t>International Journal of Pharmaceutics,</w:t>
      </w:r>
      <w:r w:rsidRPr="002E12D2">
        <w:rPr>
          <w:rFonts w:ascii="Times New Roman" w:hAnsi="Times New Roman"/>
          <w:sz w:val="20"/>
        </w:rPr>
        <w:t xml:space="preserve"> 590:119905.</w:t>
      </w:r>
    </w:p>
    <w:p w14:paraId="41B5009E"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Batchelor, H. K., Marriott, J. F. (2015). Formulations for children: Problems and solutions. Brazilian </w:t>
      </w:r>
      <w:r w:rsidRPr="002E12D2">
        <w:rPr>
          <w:rFonts w:ascii="Times New Roman" w:hAnsi="Times New Roman"/>
          <w:i/>
          <w:iCs/>
          <w:sz w:val="20"/>
        </w:rPr>
        <w:t>Journal of Clinical Pharmacology,</w:t>
      </w:r>
      <w:r w:rsidRPr="002E12D2">
        <w:rPr>
          <w:rFonts w:ascii="Times New Roman" w:hAnsi="Times New Roman"/>
          <w:sz w:val="20"/>
        </w:rPr>
        <w:t xml:space="preserve"> 79:405-418.</w:t>
      </w:r>
    </w:p>
    <w:p w14:paraId="57E59386"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Walsh, J., Ranmal, S. R, Ernes, T. B. and Liu, F. (2018). Patient acceptability, safety and access: A balancing act for selecting age-appropriate oral dosage forms for paediatric and geriatric populations. </w:t>
      </w:r>
      <w:r w:rsidRPr="002E12D2">
        <w:rPr>
          <w:rFonts w:ascii="Times New Roman" w:hAnsi="Times New Roman"/>
          <w:i/>
          <w:iCs/>
          <w:sz w:val="20"/>
        </w:rPr>
        <w:t>International Journal of Pharmaceutics,</w:t>
      </w:r>
      <w:r w:rsidRPr="002E12D2">
        <w:rPr>
          <w:rFonts w:ascii="Times New Roman" w:hAnsi="Times New Roman"/>
          <w:sz w:val="20"/>
        </w:rPr>
        <w:t xml:space="preserve"> 536:547-562.</w:t>
      </w:r>
    </w:p>
    <w:p w14:paraId="1D596BA0"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Piccone, P., Rastelli, S. L., Pitti, P. (2011). Aroma release and sensory perception of fruit candies model systems. </w:t>
      </w:r>
      <w:r w:rsidRPr="002E12D2">
        <w:rPr>
          <w:rFonts w:ascii="Times New Roman" w:hAnsi="Times New Roman"/>
          <w:i/>
          <w:iCs/>
          <w:sz w:val="20"/>
        </w:rPr>
        <w:t>Procedia Food Sciences,</w:t>
      </w:r>
      <w:r w:rsidRPr="002E12D2">
        <w:rPr>
          <w:rFonts w:ascii="Times New Roman" w:hAnsi="Times New Roman"/>
          <w:sz w:val="20"/>
        </w:rPr>
        <w:t xml:space="preserve"> 1:1509-1515.</w:t>
      </w:r>
    </w:p>
    <w:p w14:paraId="0A829AD7"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Amarra, M. S., Khor, G. L., Chan, P. (2016). Intake of added sugar in Malaysia: A review. </w:t>
      </w:r>
      <w:r w:rsidRPr="002E12D2">
        <w:rPr>
          <w:rFonts w:ascii="Times New Roman" w:hAnsi="Times New Roman"/>
          <w:i/>
          <w:iCs/>
          <w:sz w:val="20"/>
        </w:rPr>
        <w:t>Asia Pacific Journal Clinical Nutrition,</w:t>
      </w:r>
      <w:r w:rsidRPr="002E12D2">
        <w:rPr>
          <w:rFonts w:ascii="Times New Roman" w:hAnsi="Times New Roman"/>
          <w:sz w:val="20"/>
        </w:rPr>
        <w:t xml:space="preserve"> 25:227-240.</w:t>
      </w:r>
    </w:p>
    <w:p w14:paraId="4F7AE90B"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Kamaruddin F. (2021). Sugar intake and oral health - PORTAL MyHEALTH Available online: http://www.myhealth.gov.my/en/sugar-intake-and-oral-health/ [accessed on 10 February 2021].</w:t>
      </w:r>
    </w:p>
    <w:p w14:paraId="394B3B04"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Campbell, E., Schlappal, A., Geller, E. and Castonguay, T. W. (2014). Chapter 19- fructose-induced hypertriglyceridemia: A review. In nutrition in the prevention and treatment of abdominal obesity. Academic Press: San Diego. 2014: pp. 197-205.</w:t>
      </w:r>
    </w:p>
    <w:p w14:paraId="1623D123"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Rippe, J. M. and Angelopoulos, T. J. (2015). Sugars and health controversies: What does the science say? </w:t>
      </w:r>
      <w:r w:rsidRPr="002E12D2">
        <w:rPr>
          <w:rFonts w:ascii="Times New Roman" w:hAnsi="Times New Roman"/>
          <w:i/>
          <w:iCs/>
          <w:sz w:val="20"/>
        </w:rPr>
        <w:t>Advances Nutrition,</w:t>
      </w:r>
      <w:r w:rsidRPr="002E12D2">
        <w:rPr>
          <w:rFonts w:ascii="Times New Roman" w:hAnsi="Times New Roman"/>
          <w:sz w:val="20"/>
        </w:rPr>
        <w:t xml:space="preserve"> 6: 493S-503S.</w:t>
      </w:r>
    </w:p>
    <w:p w14:paraId="771AE688"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Johnson, R. K. and Yon, B. A. (2010). Weighing in on added sugars and health. </w:t>
      </w:r>
      <w:r w:rsidRPr="002E12D2">
        <w:rPr>
          <w:rFonts w:ascii="Times New Roman" w:hAnsi="Times New Roman"/>
          <w:i/>
          <w:iCs/>
          <w:sz w:val="20"/>
        </w:rPr>
        <w:t>Journal American Diet Association,</w:t>
      </w:r>
      <w:r w:rsidRPr="002E12D2">
        <w:rPr>
          <w:rFonts w:ascii="Times New Roman" w:hAnsi="Times New Roman"/>
          <w:sz w:val="20"/>
        </w:rPr>
        <w:t xml:space="preserve"> 110:1296-1299.</w:t>
      </w:r>
    </w:p>
    <w:p w14:paraId="5E0ADFCC"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Clemens, R. A, Jones, J. M, Kern, M, Lee, S. Y., Mayhew, E. J., Slavin, J. L. and Zivanovic, S. (2016). Functionality of sugars in foods and health. </w:t>
      </w:r>
      <w:r w:rsidRPr="002E12D2">
        <w:rPr>
          <w:rFonts w:ascii="Times New Roman" w:hAnsi="Times New Roman"/>
          <w:i/>
          <w:iCs/>
          <w:sz w:val="20"/>
        </w:rPr>
        <w:t>Comprehensive Review Food Science and Food Safety,</w:t>
      </w:r>
      <w:r w:rsidRPr="002E12D2">
        <w:rPr>
          <w:rFonts w:ascii="Times New Roman" w:hAnsi="Times New Roman"/>
          <w:sz w:val="20"/>
        </w:rPr>
        <w:t xml:space="preserve"> 15: 433-470.</w:t>
      </w:r>
    </w:p>
    <w:p w14:paraId="623880A1"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Chandrawanshi, M. J, Sakhare R. S, Nagoba S. N. and Bhalekar R. V. (2018). A review on medicated lozenges. </w:t>
      </w:r>
      <w:r w:rsidRPr="002E12D2">
        <w:rPr>
          <w:rFonts w:ascii="Times New Roman" w:hAnsi="Times New Roman"/>
          <w:i/>
          <w:iCs/>
          <w:sz w:val="20"/>
        </w:rPr>
        <w:t>World Journal Pharmaceutical Research,</w:t>
      </w:r>
      <w:r w:rsidRPr="002E12D2">
        <w:rPr>
          <w:rFonts w:ascii="Times New Roman" w:hAnsi="Times New Roman"/>
          <w:sz w:val="20"/>
        </w:rPr>
        <w:t xml:space="preserve"> 8: 396-412.</w:t>
      </w:r>
    </w:p>
    <w:p w14:paraId="2CAB936E"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O’Brien, S. K, Malacova, E., Sherriff J. and Black, L. J. (2017). The prevalence and predictors of dietary supplement use in the Australian population. </w:t>
      </w:r>
      <w:r w:rsidRPr="002E12D2">
        <w:rPr>
          <w:rFonts w:ascii="Times New Roman" w:hAnsi="Times New Roman"/>
          <w:i/>
          <w:iCs/>
          <w:sz w:val="20"/>
        </w:rPr>
        <w:t>Nutrients,</w:t>
      </w:r>
      <w:r w:rsidRPr="002E12D2">
        <w:rPr>
          <w:rFonts w:ascii="Times New Roman" w:hAnsi="Times New Roman"/>
          <w:sz w:val="20"/>
        </w:rPr>
        <w:t xml:space="preserve"> 9: 1154.</w:t>
      </w:r>
    </w:p>
    <w:p w14:paraId="4D43AEDD"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Dwyer, J., Nahin, R. L., Rogers, G.T, Barnes, P. M., Jacques, P. M., Sempos, C. T. and Bailey, R. (2013). Prevalence and predictors of children's dietary supplement use: The 2007 national health interview survey. </w:t>
      </w:r>
      <w:r w:rsidRPr="002E12D2">
        <w:rPr>
          <w:rFonts w:ascii="Times New Roman" w:hAnsi="Times New Roman"/>
          <w:i/>
          <w:iCs/>
          <w:sz w:val="20"/>
        </w:rPr>
        <w:t>American Journal Clinical Nutrition,</w:t>
      </w:r>
      <w:r w:rsidRPr="002E12D2">
        <w:rPr>
          <w:rFonts w:ascii="Times New Roman" w:hAnsi="Times New Roman"/>
          <w:sz w:val="20"/>
        </w:rPr>
        <w:t xml:space="preserve"> 97:1331-1337.</w:t>
      </w:r>
    </w:p>
    <w:p w14:paraId="38982E33"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Qato, D. M., Alexander, G. C, Guadamuz, J. S. and Lindau, S. T. (2018). Prevalence of dietary supplement use in US children and adolescents, 2003-2014. </w:t>
      </w:r>
      <w:r w:rsidRPr="002E12D2">
        <w:rPr>
          <w:rFonts w:ascii="Times New Roman" w:hAnsi="Times New Roman"/>
          <w:i/>
          <w:iCs/>
          <w:sz w:val="20"/>
        </w:rPr>
        <w:t xml:space="preserve">JAMA Pediatrics, </w:t>
      </w:r>
      <w:r w:rsidRPr="002E12D2">
        <w:rPr>
          <w:rFonts w:ascii="Times New Roman" w:hAnsi="Times New Roman"/>
          <w:sz w:val="20"/>
        </w:rPr>
        <w:t>172:780.</w:t>
      </w:r>
    </w:p>
    <w:p w14:paraId="4131332B"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lastRenderedPageBreak/>
        <w:t xml:space="preserve">Del Balzo V, Vitiello V. and Germani A. (2014). A cross-sectional survey on dietary supplements consumption among Italian Teen-Agers. </w:t>
      </w:r>
      <w:r w:rsidRPr="002E12D2">
        <w:rPr>
          <w:rFonts w:ascii="Times New Roman" w:hAnsi="Times New Roman"/>
          <w:i/>
          <w:iCs/>
          <w:sz w:val="20"/>
        </w:rPr>
        <w:t xml:space="preserve">PLoS ONE, </w:t>
      </w:r>
      <w:r w:rsidRPr="002E12D2">
        <w:rPr>
          <w:rFonts w:ascii="Times New Roman" w:hAnsi="Times New Roman"/>
          <w:sz w:val="20"/>
        </w:rPr>
        <w:t>9: e100508.</w:t>
      </w:r>
    </w:p>
    <w:p w14:paraId="49DE4986" w14:textId="4CAD57A9" w:rsidR="00F14150" w:rsidRPr="00F14150"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Sichert-Hellert, W. and Kersting M. (2004). Vitamin and mineral supplement use in German children and adolescents between 1986 and 2003: Results of the DONALD study. </w:t>
      </w:r>
      <w:r w:rsidRPr="002E12D2">
        <w:rPr>
          <w:rFonts w:ascii="Times New Roman" w:hAnsi="Times New Roman"/>
          <w:i/>
          <w:iCs/>
          <w:sz w:val="20"/>
        </w:rPr>
        <w:t>Annual Nutritional Metabolism,</w:t>
      </w:r>
      <w:r w:rsidRPr="002E12D2">
        <w:rPr>
          <w:rFonts w:ascii="Times New Roman" w:hAnsi="Times New Roman"/>
          <w:sz w:val="20"/>
        </w:rPr>
        <w:t xml:space="preserve"> 48: 414-419.</w:t>
      </w:r>
    </w:p>
    <w:p w14:paraId="6FB782F4"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Marjamaki, L., Rasanen, M., Uusitalo, L., Anohen, S., Veijola, R., Knip, M. and Virtanen, S. M. (2004). Use of vitamin D and other dietary supplements by Finnish children at the age of 2 and 3 years. </w:t>
      </w:r>
      <w:r w:rsidRPr="002E12D2">
        <w:rPr>
          <w:rFonts w:ascii="Times New Roman" w:hAnsi="Times New Roman"/>
          <w:i/>
          <w:iCs/>
          <w:sz w:val="20"/>
        </w:rPr>
        <w:t>International Journal of Vitamin Nutritional Research,</w:t>
      </w:r>
      <w:r w:rsidRPr="002E12D2">
        <w:rPr>
          <w:rFonts w:ascii="Times New Roman" w:hAnsi="Times New Roman"/>
          <w:sz w:val="20"/>
        </w:rPr>
        <w:t xml:space="preserve"> 74:27-34.</w:t>
      </w:r>
    </w:p>
    <w:p w14:paraId="6E27AC58"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Kobayashi, E., Nishijima, C., Sato, Y., Umegaki, K. and Chiba, T. (2018). The prevalence of dietary supplement use among elementary, junior high, and high school students: A nationwide survey in Japan. </w:t>
      </w:r>
      <w:r w:rsidRPr="002E12D2">
        <w:rPr>
          <w:rFonts w:ascii="Times New Roman" w:hAnsi="Times New Roman"/>
          <w:i/>
          <w:iCs/>
          <w:sz w:val="20"/>
        </w:rPr>
        <w:t xml:space="preserve">Nutrients, </w:t>
      </w:r>
      <w:r w:rsidRPr="002E12D2">
        <w:rPr>
          <w:rFonts w:ascii="Times New Roman" w:hAnsi="Times New Roman"/>
          <w:sz w:val="20"/>
        </w:rPr>
        <w:t>10:1176.</w:t>
      </w:r>
    </w:p>
    <w:p w14:paraId="030BA6C8"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Mori, N., Kubota, M., Hamada, S. and Nagai A. (2011). Prevalence and characterization of supplement use among healthy children and adolescents in an urban Japanese city. </w:t>
      </w:r>
      <w:r w:rsidRPr="002E12D2">
        <w:rPr>
          <w:rFonts w:ascii="Times New Roman" w:hAnsi="Times New Roman"/>
          <w:i/>
          <w:iCs/>
          <w:sz w:val="20"/>
        </w:rPr>
        <w:t xml:space="preserve">Health, </w:t>
      </w:r>
      <w:r w:rsidRPr="002E12D2">
        <w:rPr>
          <w:rFonts w:ascii="Times New Roman" w:hAnsi="Times New Roman"/>
          <w:sz w:val="20"/>
        </w:rPr>
        <w:t>3:135-140.</w:t>
      </w:r>
    </w:p>
    <w:p w14:paraId="7109EF0A"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Yoon, J. Y., Park, H. A., Kang, J. H., Kim, K. W., Hur, Y. I., Park, J. J., Lee, R. and Lee, H. H. (2012). Prevalence of dietary supplement use in korean children and adolescents: Insights from Korea national health and nutrition examination survey 2007-2009. </w:t>
      </w:r>
      <w:r w:rsidRPr="002E12D2">
        <w:rPr>
          <w:rFonts w:ascii="Times New Roman" w:hAnsi="Times New Roman"/>
          <w:i/>
          <w:iCs/>
          <w:sz w:val="20"/>
        </w:rPr>
        <w:t xml:space="preserve">Journal Korean Medicine Sciences, </w:t>
      </w:r>
      <w:r w:rsidRPr="002E12D2">
        <w:rPr>
          <w:rFonts w:ascii="Times New Roman" w:hAnsi="Times New Roman"/>
          <w:sz w:val="20"/>
        </w:rPr>
        <w:t>27:512-517.</w:t>
      </w:r>
    </w:p>
    <w:p w14:paraId="25244F2B"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Sien, Y. P., Sahril, N., Mutalip, M. H. A., Zaki, N. A. M. and Ghaffar, S. A. (2014). Determinants of dietary supplements use among adolescents in Malaysia. </w:t>
      </w:r>
      <w:r w:rsidRPr="002E12D2">
        <w:rPr>
          <w:rFonts w:ascii="Times New Roman" w:hAnsi="Times New Roman"/>
          <w:i/>
          <w:iCs/>
          <w:sz w:val="20"/>
        </w:rPr>
        <w:t>Asia Pacific Journal Public Health,</w:t>
      </w:r>
      <w:r w:rsidRPr="002E12D2">
        <w:rPr>
          <w:rFonts w:ascii="Times New Roman" w:hAnsi="Times New Roman"/>
          <w:sz w:val="20"/>
        </w:rPr>
        <w:t xml:space="preserve"> 26(5S): 36S-43S.</w:t>
      </w:r>
    </w:p>
    <w:p w14:paraId="7CFDEAD3"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Vennard, T. R., Ruosch, A. J., Wejrowski, S. M. and Ellingson, D. J. (2020). Sugar profile method by high-performance anion-exchange chromatography with pulsed amperometric detection in food, dietary supplements, pet food, and animal feeds: First action 2018.16. </w:t>
      </w:r>
      <w:r w:rsidRPr="002E12D2">
        <w:rPr>
          <w:rFonts w:ascii="Times New Roman" w:hAnsi="Times New Roman"/>
          <w:i/>
          <w:iCs/>
          <w:sz w:val="20"/>
        </w:rPr>
        <w:t>Journal AOAC International,</w:t>
      </w:r>
      <w:r w:rsidRPr="002E12D2">
        <w:rPr>
          <w:rFonts w:ascii="Times New Roman" w:hAnsi="Times New Roman"/>
          <w:sz w:val="20"/>
        </w:rPr>
        <w:t xml:space="preserve"> 103(1):89-102.</w:t>
      </w:r>
    </w:p>
    <w:p w14:paraId="3426A86C"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Tihomirova, K, Dalecka B. and Mezule L. (2016). Application of conventional HPLC RI technique for sugar analysis in hydrolysed hay. </w:t>
      </w:r>
      <w:r w:rsidRPr="002E12D2">
        <w:rPr>
          <w:rFonts w:ascii="Times New Roman" w:hAnsi="Times New Roman"/>
          <w:i/>
          <w:iCs/>
          <w:sz w:val="20"/>
        </w:rPr>
        <w:t>Agronomy Research,</w:t>
      </w:r>
      <w:r w:rsidRPr="002E12D2">
        <w:rPr>
          <w:rFonts w:ascii="Times New Roman" w:hAnsi="Times New Roman"/>
          <w:sz w:val="20"/>
        </w:rPr>
        <w:t xml:space="preserve"> 14(5):1713-1719.</w:t>
      </w:r>
    </w:p>
    <w:p w14:paraId="4A18162B"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Potter, N. N. and Hotchkiss, J. H. (1995). Confectionery and chocolate products. </w:t>
      </w:r>
      <w:r w:rsidRPr="002E12D2">
        <w:rPr>
          <w:rFonts w:ascii="Times New Roman" w:hAnsi="Times New Roman"/>
          <w:i/>
          <w:iCs/>
          <w:sz w:val="20"/>
        </w:rPr>
        <w:t>Food Science Text Series,</w:t>
      </w:r>
      <w:r w:rsidRPr="002E12D2">
        <w:rPr>
          <w:rFonts w:ascii="Times New Roman" w:hAnsi="Times New Roman"/>
          <w:sz w:val="20"/>
        </w:rPr>
        <w:t xml:space="preserve"> 464-477. </w:t>
      </w:r>
    </w:p>
    <w:p w14:paraId="19174EC8"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Soukoulis, C. and Tzia, C. (2018). Grape, raisin and sugarcane molasses as potential partial sucrose substitutes in chocolate ice cream: A feasibility study. </w:t>
      </w:r>
      <w:r w:rsidRPr="002E12D2">
        <w:rPr>
          <w:rFonts w:ascii="Times New Roman" w:hAnsi="Times New Roman"/>
          <w:i/>
          <w:iCs/>
          <w:sz w:val="20"/>
        </w:rPr>
        <w:t>International Dairy Journal,</w:t>
      </w:r>
      <w:r w:rsidRPr="002E12D2">
        <w:rPr>
          <w:rFonts w:ascii="Times New Roman" w:hAnsi="Times New Roman"/>
          <w:sz w:val="20"/>
        </w:rPr>
        <w:t xml:space="preserve"> 76:18-29. </w:t>
      </w:r>
    </w:p>
    <w:p w14:paraId="2E361C5C"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Onwulata, C. I. and Holsinger, V. H. (1996). Rheology and thermal properties of syrupy composites of saccharides and milk fat. </w:t>
      </w:r>
      <w:r w:rsidRPr="002E12D2">
        <w:rPr>
          <w:rFonts w:ascii="Times New Roman" w:hAnsi="Times New Roman"/>
          <w:i/>
          <w:iCs/>
          <w:sz w:val="20"/>
        </w:rPr>
        <w:t>Journal of Food Lipids,</w:t>
      </w:r>
      <w:r w:rsidRPr="002E12D2">
        <w:rPr>
          <w:rFonts w:ascii="Times New Roman" w:hAnsi="Times New Roman"/>
          <w:sz w:val="20"/>
        </w:rPr>
        <w:t xml:space="preserve"> 3(1): 43-57. </w:t>
      </w:r>
    </w:p>
    <w:p w14:paraId="6CEAB6C2"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Tagami, T., Ito, E., Kida, R., Hirose, K., Noda, T. and Ozeki, T. (2021). 3D printing of gummy drug formulations composed of gelatin and an HPMC-based hydrogel for pediatric use. </w:t>
      </w:r>
      <w:r w:rsidRPr="002E12D2">
        <w:rPr>
          <w:rFonts w:ascii="Times New Roman" w:hAnsi="Times New Roman"/>
          <w:i/>
          <w:iCs/>
          <w:sz w:val="20"/>
        </w:rPr>
        <w:t>International Journal of Pharmaceutics,</w:t>
      </w:r>
      <w:r w:rsidRPr="002E12D2">
        <w:rPr>
          <w:rFonts w:ascii="Times New Roman" w:hAnsi="Times New Roman"/>
          <w:sz w:val="20"/>
        </w:rPr>
        <w:t xml:space="preserve"> 594: 120118.</w:t>
      </w:r>
    </w:p>
    <w:p w14:paraId="0372194E"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Wood, H. W. (1958). The identification of the sugar in gelatin. </w:t>
      </w:r>
      <w:r w:rsidRPr="002E12D2">
        <w:rPr>
          <w:rFonts w:ascii="Times New Roman" w:hAnsi="Times New Roman"/>
          <w:i/>
          <w:iCs/>
          <w:sz w:val="20"/>
        </w:rPr>
        <w:t>Journal Photographic Sciences,</w:t>
      </w:r>
      <w:r w:rsidRPr="002E12D2">
        <w:rPr>
          <w:rFonts w:ascii="Times New Roman" w:hAnsi="Times New Roman"/>
          <w:sz w:val="20"/>
        </w:rPr>
        <w:t xml:space="preserve"> 6:170-175.</w:t>
      </w:r>
    </w:p>
    <w:p w14:paraId="4B417D4F"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Evans, E. W., Hayes, C., Palmer, C. A., Bermudez, O. I., Cohen, S. A. and Must, A. (2013). Dietary intake and severe early childhood caries in low-income, young children. </w:t>
      </w:r>
      <w:r w:rsidRPr="002E12D2">
        <w:rPr>
          <w:rFonts w:ascii="Times New Roman" w:hAnsi="Times New Roman"/>
          <w:i/>
          <w:iCs/>
          <w:sz w:val="20"/>
        </w:rPr>
        <w:t xml:space="preserve">Journal of the Academy of Nutrition and Dietetics, </w:t>
      </w:r>
      <w:r w:rsidRPr="002E12D2">
        <w:rPr>
          <w:rFonts w:ascii="Times New Roman" w:hAnsi="Times New Roman"/>
          <w:sz w:val="20"/>
        </w:rPr>
        <w:t>113(8): 1057-1061.</w:t>
      </w:r>
    </w:p>
    <w:p w14:paraId="2A710D7A"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Folayan, M. O., Arije, O., El Tantawi, M., Kolawole, K. A., Obiyan, M., Arowolo, O. and Oziegbe, E. O. (2019). Association between early childhood caries and malnutrition in a sub-urban population in Nigeria. </w:t>
      </w:r>
      <w:r w:rsidRPr="002E12D2">
        <w:rPr>
          <w:rFonts w:ascii="Times New Roman" w:hAnsi="Times New Roman"/>
          <w:i/>
          <w:iCs/>
          <w:sz w:val="20"/>
        </w:rPr>
        <w:t xml:space="preserve">BMC Pediatrics, </w:t>
      </w:r>
      <w:r w:rsidRPr="002E12D2">
        <w:rPr>
          <w:rFonts w:ascii="Times New Roman" w:hAnsi="Times New Roman"/>
          <w:sz w:val="20"/>
        </w:rPr>
        <w:t>19(1): 1-8.</w:t>
      </w:r>
    </w:p>
    <w:p w14:paraId="4E1EC9A0"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National Pharmaceutical Regulatory Agency (NPRA) Product Classification Guideline - Drugs or Food Products (2021). Available online: https://npra.gov.my/index.php/en/classification-guideline/product-classification-guideline.html?highlight=WyJjbGFzc2lmaWNhdGlvbiIsIidjbGFzc2lmaWNhdGlvbiJd [accessed on 26 May 2021].</w:t>
      </w:r>
    </w:p>
    <w:p w14:paraId="0E29E3D5"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Dickinson, A., Bonci, L., Boyon, N. and Franco, J. C. (2012). Dietitians use and recommend dietary supplements: Report of A survey. </w:t>
      </w:r>
      <w:r w:rsidRPr="002E12D2">
        <w:rPr>
          <w:rFonts w:ascii="Times New Roman" w:hAnsi="Times New Roman"/>
          <w:i/>
          <w:iCs/>
          <w:sz w:val="20"/>
        </w:rPr>
        <w:t>Nutrition Journal,</w:t>
      </w:r>
      <w:r w:rsidRPr="002E12D2">
        <w:rPr>
          <w:rFonts w:ascii="Times New Roman" w:hAnsi="Times New Roman"/>
          <w:sz w:val="20"/>
        </w:rPr>
        <w:t xml:space="preserve"> 11:14.</w:t>
      </w:r>
    </w:p>
    <w:p w14:paraId="78161AA6" w14:textId="77777777" w:rsidR="00F14150" w:rsidRPr="002E12D2"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t xml:space="preserve">Goston, J. L. and Correia, M. I. T. D. (2010). Intake of nutritional supplements among people exercising in gyms and influencing factors. </w:t>
      </w:r>
      <w:r w:rsidRPr="002E12D2">
        <w:rPr>
          <w:rFonts w:ascii="Times New Roman" w:hAnsi="Times New Roman"/>
          <w:i/>
          <w:iCs/>
          <w:sz w:val="20"/>
        </w:rPr>
        <w:t xml:space="preserve">Nutrition, </w:t>
      </w:r>
      <w:r w:rsidRPr="002E12D2">
        <w:rPr>
          <w:rFonts w:ascii="Times New Roman" w:hAnsi="Times New Roman"/>
          <w:sz w:val="20"/>
        </w:rPr>
        <w:t>26(6): 604-611.</w:t>
      </w:r>
    </w:p>
    <w:p w14:paraId="347A8A16" w14:textId="5636AA35" w:rsidR="00F14150" w:rsidRPr="00F14150" w:rsidRDefault="00F14150" w:rsidP="00F14150">
      <w:pPr>
        <w:pStyle w:val="MDPI71References"/>
        <w:numPr>
          <w:ilvl w:val="0"/>
          <w:numId w:val="10"/>
        </w:numPr>
        <w:spacing w:line="276" w:lineRule="auto"/>
        <w:ind w:left="360" w:hanging="360"/>
        <w:rPr>
          <w:rFonts w:ascii="Times New Roman" w:hAnsi="Times New Roman"/>
          <w:sz w:val="20"/>
        </w:rPr>
      </w:pPr>
      <w:r w:rsidRPr="002E12D2">
        <w:rPr>
          <w:rFonts w:ascii="Times New Roman" w:hAnsi="Times New Roman"/>
          <w:sz w:val="20"/>
        </w:rPr>
        <w:lastRenderedPageBreak/>
        <w:t xml:space="preserve">Abe-Matsumoto, L. T., Sampaio, G. R. and Bastos, D. H. M. (2018). Do the labels of Vitamin A, C, and E supplements reflect actual vitamin content in commercial supplements? </w:t>
      </w:r>
      <w:r w:rsidRPr="002E12D2">
        <w:rPr>
          <w:rFonts w:ascii="Times New Roman" w:hAnsi="Times New Roman"/>
          <w:i/>
          <w:iCs/>
          <w:sz w:val="20"/>
        </w:rPr>
        <w:t>Journal Food Composition Analysis,</w:t>
      </w:r>
      <w:r w:rsidRPr="002E12D2">
        <w:rPr>
          <w:rFonts w:ascii="Times New Roman" w:hAnsi="Times New Roman"/>
          <w:sz w:val="20"/>
        </w:rPr>
        <w:t xml:space="preserve"> 72: 141-149.</w:t>
      </w:r>
    </w:p>
    <w:p w14:paraId="2FAF5E35" w14:textId="77777777" w:rsidR="00F37874" w:rsidRDefault="00F37874" w:rsidP="001E55BE">
      <w:pPr>
        <w:spacing w:after="0"/>
        <w:rPr>
          <w:rFonts w:ascii="Times New Roman" w:hAnsi="Times New Roman" w:cs="Times New Roman"/>
          <w:sz w:val="24"/>
          <w:szCs w:val="24"/>
        </w:rPr>
      </w:pPr>
    </w:p>
    <w:p w14:paraId="6CED2528" w14:textId="77777777" w:rsidR="007F08A2" w:rsidRDefault="007F08A2" w:rsidP="00F37874">
      <w:pPr>
        <w:spacing w:after="0"/>
        <w:outlineLvl w:val="0"/>
        <w:rPr>
          <w:rFonts w:ascii="Times New Roman" w:hAnsi="Times New Roman"/>
          <w:sz w:val="28"/>
          <w:szCs w:val="28"/>
          <w:lang w:val="en-GB"/>
        </w:rPr>
        <w:sectPr w:rsidR="007F08A2" w:rsidSect="007962C4">
          <w:footerReference w:type="even" r:id="rId12"/>
          <w:footerReference w:type="default" r:id="rId13"/>
          <w:type w:val="continuous"/>
          <w:pgSz w:w="12240" w:h="15840" w:code="1"/>
          <w:pgMar w:top="1800" w:right="1469" w:bottom="1699" w:left="1440" w:header="706" w:footer="706" w:gutter="0"/>
          <w:pgNumType w:start="0"/>
          <w:cols w:space="403"/>
          <w:docGrid w:linePitch="360"/>
        </w:sectPr>
      </w:pPr>
    </w:p>
    <w:p w14:paraId="7DE6ED8C" w14:textId="77777777" w:rsidR="00385369" w:rsidRPr="00385369" w:rsidRDefault="00385369" w:rsidP="00385369">
      <w:pPr>
        <w:spacing w:after="0"/>
        <w:jc w:val="both"/>
        <w:rPr>
          <w:rFonts w:ascii="Times New Roman" w:hAnsi="Times New Roman"/>
          <w:b/>
          <w:sz w:val="20"/>
          <w:szCs w:val="20"/>
          <w:lang w:val="ms-MY"/>
        </w:rPr>
      </w:pPr>
    </w:p>
    <w:sectPr w:rsidR="00385369" w:rsidRPr="00385369" w:rsidSect="006E79D9">
      <w:headerReference w:type="even" r:id="rId14"/>
      <w:headerReference w:type="default" r:id="rId15"/>
      <w:footerReference w:type="even" r:id="rId16"/>
      <w:headerReference w:type="first" r:id="rId17"/>
      <w:pgSz w:w="12240" w:h="15840"/>
      <w:pgMar w:top="1800" w:right="1469" w:bottom="169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68521" w14:textId="77777777" w:rsidR="009A4A79" w:rsidRDefault="00E67FF6">
      <w:pPr>
        <w:spacing w:after="0" w:line="240" w:lineRule="auto"/>
      </w:pPr>
      <w:r>
        <w:separator/>
      </w:r>
    </w:p>
  </w:endnote>
  <w:endnote w:type="continuationSeparator" w:id="0">
    <w:p w14:paraId="3C4C24FA" w14:textId="77777777" w:rsidR="009A4A79" w:rsidRDefault="00E67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9C4C3" w14:textId="77777777" w:rsidR="00385369" w:rsidRDefault="00385369">
    <w:pPr>
      <w:pStyle w:val="Footer"/>
    </w:pPr>
    <w:r w:rsidRPr="00CE203C">
      <w:rPr>
        <w:rFonts w:ascii="Times New Roman" w:hAnsi="Times New Roman"/>
        <w:lang w:val="en-US"/>
      </w:rPr>
      <w:t>1</w:t>
    </w:r>
    <w:r>
      <w:rPr>
        <w:rFonts w:ascii="Times New Roman" w:hAnsi="Times New Roman"/>
        <w:lang w:val="en-US"/>
      </w:rPr>
      <w:t>068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0D138" w14:textId="7B91A84E" w:rsidR="00385369" w:rsidRPr="007D4BAB" w:rsidRDefault="00385369" w:rsidP="007D4BA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DE585" w14:textId="77777777" w:rsidR="007F08A2" w:rsidRDefault="007F08A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20C4" w14:textId="77777777" w:rsidR="007F08A2" w:rsidRPr="004B43FF" w:rsidRDefault="007F08A2">
    <w:pPr>
      <w:pStyle w:val="Footer"/>
      <w:rPr>
        <w:rFonts w:ascii="Times New Roman" w:hAnsi="Times New Roman"/>
        <w:lang w:val="en-US"/>
      </w:rPr>
    </w:pPr>
    <w:r>
      <w:rPr>
        <w:rFonts w:ascii="Times New Roman" w:hAnsi="Times New Roman"/>
        <w:noProof/>
        <w:lang w:val="en-US"/>
      </w:rPr>
      <w:t>975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D584" w14:textId="77777777" w:rsidR="008F627B" w:rsidRDefault="006E79D9">
    <w:pPr>
      <w:pStyle w:val="Footer"/>
    </w:pPr>
    <w:r w:rsidRPr="0087696D">
      <w:rPr>
        <w:rFonts w:ascii="Times New Roman" w:hAnsi="Times New Roman"/>
      </w:rPr>
      <w:ptab w:relativeTo="margin" w:alignment="center" w:leader="none"/>
    </w:r>
    <w:r w:rsidRPr="0087696D">
      <w:rPr>
        <w:rFonts w:ascii="Times New Roman" w:hAnsi="Times New Roman"/>
      </w:rPr>
      <w:ptab w:relativeTo="margin" w:alignment="right" w:leader="none"/>
    </w:r>
    <w:r>
      <w:rPr>
        <w:rFonts w:ascii="Times New Roman" w:hAnsi="Times New Roman"/>
        <w:lang w:val="en-US"/>
      </w:rPr>
      <w:t>328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AFC0E" w14:textId="77777777" w:rsidR="009A4A79" w:rsidRDefault="00E67FF6">
      <w:pPr>
        <w:spacing w:after="0" w:line="240" w:lineRule="auto"/>
      </w:pPr>
      <w:r>
        <w:separator/>
      </w:r>
    </w:p>
  </w:footnote>
  <w:footnote w:type="continuationSeparator" w:id="0">
    <w:p w14:paraId="3FC7D75F" w14:textId="77777777" w:rsidR="009A4A79" w:rsidRDefault="00E67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8F5C4" w14:textId="77777777" w:rsidR="00385369" w:rsidRPr="00CB635A" w:rsidRDefault="00385369" w:rsidP="00CB635A">
    <w:pPr>
      <w:spacing w:after="0"/>
      <w:ind w:left="900" w:hanging="900"/>
      <w:rPr>
        <w:rFonts w:ascii="Times New Roman" w:hAnsi="Times New Roman"/>
        <w:sz w:val="20"/>
        <w:szCs w:val="20"/>
        <w:lang w:val="en-GB"/>
      </w:rPr>
    </w:pPr>
    <w:r>
      <w:rPr>
        <w:rFonts w:ascii="Times New Roman" w:hAnsi="Times New Roman"/>
        <w:sz w:val="20"/>
        <w:szCs w:val="20"/>
      </w:rPr>
      <w:t>Koh et al</w:t>
    </w:r>
    <w:r w:rsidRPr="00AF7C55">
      <w:rPr>
        <w:rFonts w:ascii="Times New Roman" w:hAnsi="Times New Roman"/>
        <w:sz w:val="20"/>
        <w:szCs w:val="20"/>
      </w:rPr>
      <w:t xml:space="preserve">:  </w:t>
    </w:r>
    <w:r>
      <w:rPr>
        <w:rFonts w:ascii="Times New Roman" w:hAnsi="Times New Roman"/>
        <w:sz w:val="20"/>
        <w:szCs w:val="20"/>
      </w:rPr>
      <w:tab/>
    </w:r>
    <w:r w:rsidRPr="00AF7C55">
      <w:rPr>
        <w:rFonts w:ascii="Times New Roman" w:hAnsi="Times New Roman"/>
        <w:sz w:val="20"/>
        <w:szCs w:val="20"/>
        <w:lang w:val="en-GB"/>
      </w:rPr>
      <w:t>ROLE OF VANADIA AND TITANIA PHASES IN THE REMOVAL OF METHYLENE BLUE BY ADSORPTION AND PHOTOCATALYTIC DEGRADATION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0FC44" w14:textId="77777777" w:rsidR="00385369" w:rsidRDefault="003853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F577A" w14:textId="77777777" w:rsidR="00385369" w:rsidRDefault="003853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C9EF" w14:textId="77777777" w:rsidR="00487F62" w:rsidRDefault="006E79D9" w:rsidP="002C4D5D">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320 - 329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29F" w14:textId="77777777" w:rsidR="00487F62" w:rsidRDefault="00F1415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9E45" w14:textId="77777777" w:rsidR="00487F62" w:rsidRDefault="00F14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7A1B66"/>
    <w:multiLevelType w:val="hybridMultilevel"/>
    <w:tmpl w:val="83DAC48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CA544A"/>
    <w:multiLevelType w:val="singleLevel"/>
    <w:tmpl w:val="DD2A490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16"/>
      </w:rPr>
    </w:lvl>
  </w:abstractNum>
  <w:abstractNum w:abstractNumId="4" w15:restartNumberingAfterBreak="0">
    <w:nsid w:val="5ED14A96"/>
    <w:multiLevelType w:val="hybridMultilevel"/>
    <w:tmpl w:val="4386C3D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62936346"/>
    <w:multiLevelType w:val="hybridMultilevel"/>
    <w:tmpl w:val="FB628FC6"/>
    <w:lvl w:ilvl="0" w:tplc="5DB2ECDA">
      <w:start w:val="1"/>
      <w:numFmt w:val="decimal"/>
      <w:lvlText w:val="%1."/>
      <w:lvlJc w:val="left"/>
      <w:pPr>
        <w:ind w:left="720" w:hanging="360"/>
      </w:pPr>
      <w:rPr>
        <w:rFonts w:hint="default"/>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69A05FBC"/>
    <w:multiLevelType w:val="hybridMultilevel"/>
    <w:tmpl w:val="FDBE229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6B01572F"/>
    <w:multiLevelType w:val="hybridMultilevel"/>
    <w:tmpl w:val="F14A6E6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6C181468"/>
    <w:multiLevelType w:val="hybridMultilevel"/>
    <w:tmpl w:val="49F0C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5E599D"/>
    <w:multiLevelType w:val="hybridMultilevel"/>
    <w:tmpl w:val="245A078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5"/>
  </w:num>
  <w:num w:numId="2">
    <w:abstractNumId w:val="4"/>
  </w:num>
  <w:num w:numId="3">
    <w:abstractNumId w:val="10"/>
  </w:num>
  <w:num w:numId="4">
    <w:abstractNumId w:val="3"/>
  </w:num>
  <w:num w:numId="5">
    <w:abstractNumId w:val="6"/>
  </w:num>
  <w:num w:numId="6">
    <w:abstractNumId w:val="9"/>
  </w:num>
  <w:num w:numId="7">
    <w:abstractNumId w:val="2"/>
  </w:num>
  <w:num w:numId="8">
    <w:abstractNumId w:val="7"/>
  </w:num>
  <w:num w:numId="9">
    <w:abstractNumId w:val="8"/>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3E3"/>
    <w:rsid w:val="00095557"/>
    <w:rsid w:val="001573E3"/>
    <w:rsid w:val="00184405"/>
    <w:rsid w:val="00185EDF"/>
    <w:rsid w:val="001E55BE"/>
    <w:rsid w:val="00226372"/>
    <w:rsid w:val="002B425B"/>
    <w:rsid w:val="002D51DC"/>
    <w:rsid w:val="002F626B"/>
    <w:rsid w:val="00357881"/>
    <w:rsid w:val="00385369"/>
    <w:rsid w:val="003A1F80"/>
    <w:rsid w:val="0044292C"/>
    <w:rsid w:val="00460C95"/>
    <w:rsid w:val="00473CD4"/>
    <w:rsid w:val="00487993"/>
    <w:rsid w:val="005119B4"/>
    <w:rsid w:val="005136AA"/>
    <w:rsid w:val="005644C8"/>
    <w:rsid w:val="005F401D"/>
    <w:rsid w:val="006149E4"/>
    <w:rsid w:val="006E79D9"/>
    <w:rsid w:val="006F3FC1"/>
    <w:rsid w:val="007761C2"/>
    <w:rsid w:val="007962C4"/>
    <w:rsid w:val="007D0E7F"/>
    <w:rsid w:val="007F08A2"/>
    <w:rsid w:val="007F7EB3"/>
    <w:rsid w:val="00832F59"/>
    <w:rsid w:val="00834CDE"/>
    <w:rsid w:val="00863F22"/>
    <w:rsid w:val="00900BAC"/>
    <w:rsid w:val="00950912"/>
    <w:rsid w:val="00975E1A"/>
    <w:rsid w:val="009A4A79"/>
    <w:rsid w:val="009A5A4D"/>
    <w:rsid w:val="009B31A6"/>
    <w:rsid w:val="009C3305"/>
    <w:rsid w:val="00A23F0F"/>
    <w:rsid w:val="00A52EFF"/>
    <w:rsid w:val="00AA706B"/>
    <w:rsid w:val="00AB4AE6"/>
    <w:rsid w:val="00AB5AEF"/>
    <w:rsid w:val="00AB5F93"/>
    <w:rsid w:val="00AC72D0"/>
    <w:rsid w:val="00AD4549"/>
    <w:rsid w:val="00B40E61"/>
    <w:rsid w:val="00B9022C"/>
    <w:rsid w:val="00BE5F5F"/>
    <w:rsid w:val="00C71438"/>
    <w:rsid w:val="00C72F3E"/>
    <w:rsid w:val="00C73A4A"/>
    <w:rsid w:val="00CE6DF3"/>
    <w:rsid w:val="00D04BC8"/>
    <w:rsid w:val="00D0718B"/>
    <w:rsid w:val="00D40B1F"/>
    <w:rsid w:val="00D414B9"/>
    <w:rsid w:val="00DE20A8"/>
    <w:rsid w:val="00E67FF6"/>
    <w:rsid w:val="00EA6DE5"/>
    <w:rsid w:val="00EC5D90"/>
    <w:rsid w:val="00F10961"/>
    <w:rsid w:val="00F14150"/>
    <w:rsid w:val="00F37874"/>
    <w:rsid w:val="00F437F2"/>
    <w:rsid w:val="00FA1675"/>
    <w:rsid w:val="00FC0E69"/>
    <w:rsid w:val="00FF4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676E7EFD"/>
  <w15:docId w15:val="{46CB7B12-DDB7-4680-8437-01E103194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ESTECTitle">
    <w:name w:val="JESTEC Title"/>
    <w:basedOn w:val="Normal"/>
    <w:rsid w:val="005F401D"/>
    <w:pPr>
      <w:spacing w:before="1200" w:after="300" w:line="240" w:lineRule="auto"/>
      <w:jc w:val="center"/>
    </w:pPr>
    <w:rPr>
      <w:rFonts w:ascii="Arial" w:eastAsia="SimSun" w:hAnsi="Arial" w:cs="Arial"/>
      <w:b/>
      <w:lang w:val="en-GB"/>
    </w:rPr>
  </w:style>
  <w:style w:type="paragraph" w:customStyle="1" w:styleId="JESTECAffiliation">
    <w:name w:val="JESTEC Affiliation"/>
    <w:basedOn w:val="Normal"/>
    <w:rsid w:val="005F401D"/>
    <w:pPr>
      <w:spacing w:after="0" w:line="240" w:lineRule="auto"/>
      <w:jc w:val="center"/>
    </w:pPr>
    <w:rPr>
      <w:rFonts w:ascii="Times New Roman" w:eastAsia="SimSun" w:hAnsi="Times New Roman" w:cs="Times New Roman"/>
      <w:sz w:val="18"/>
      <w:szCs w:val="18"/>
      <w:lang w:val="en-GB"/>
    </w:rPr>
  </w:style>
  <w:style w:type="paragraph" w:styleId="ListParagraph">
    <w:name w:val="List Paragraph"/>
    <w:basedOn w:val="Normal"/>
    <w:uiPriority w:val="34"/>
    <w:qFormat/>
    <w:rsid w:val="005F401D"/>
    <w:pPr>
      <w:ind w:left="720"/>
      <w:contextualSpacing/>
    </w:pPr>
    <w:rPr>
      <w:rFonts w:ascii="Cambria" w:eastAsia="Times New Roman" w:hAnsi="Cambria" w:cs="Times New Roman"/>
      <w:lang w:bidi="en-US"/>
    </w:rPr>
  </w:style>
  <w:style w:type="paragraph" w:customStyle="1" w:styleId="references">
    <w:name w:val="references"/>
    <w:rsid w:val="00095557"/>
    <w:pPr>
      <w:numPr>
        <w:numId w:val="4"/>
      </w:numPr>
      <w:spacing w:after="50" w:line="180" w:lineRule="exact"/>
      <w:jc w:val="both"/>
    </w:pPr>
    <w:rPr>
      <w:rFonts w:ascii="Times New Roman" w:eastAsia="MS Mincho" w:hAnsi="Times New Roman" w:cs="Times New Roman"/>
      <w:noProof/>
      <w:sz w:val="16"/>
      <w:szCs w:val="16"/>
    </w:rPr>
  </w:style>
  <w:style w:type="paragraph" w:styleId="BalloonText">
    <w:name w:val="Balloon Text"/>
    <w:basedOn w:val="Normal"/>
    <w:link w:val="BalloonTextChar"/>
    <w:uiPriority w:val="99"/>
    <w:semiHidden/>
    <w:unhideWhenUsed/>
    <w:rsid w:val="0046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C95"/>
    <w:rPr>
      <w:rFonts w:ascii="Tahoma" w:hAnsi="Tahoma" w:cs="Tahoma"/>
      <w:sz w:val="16"/>
      <w:szCs w:val="16"/>
    </w:rPr>
  </w:style>
  <w:style w:type="paragraph" w:customStyle="1" w:styleId="msonospacing0">
    <w:name w:val="msonospacing"/>
    <w:rsid w:val="00473CD4"/>
    <w:pPr>
      <w:spacing w:after="160" w:line="256" w:lineRule="auto"/>
    </w:pPr>
    <w:rPr>
      <w:rFonts w:ascii="Calibri" w:eastAsia="Calibri" w:hAnsi="Calibri" w:cs="Times New Roman"/>
      <w:lang w:eastAsia="zh-CN"/>
    </w:rPr>
  </w:style>
  <w:style w:type="paragraph" w:styleId="Header">
    <w:name w:val="header"/>
    <w:basedOn w:val="Normal"/>
    <w:link w:val="Head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HeaderChar">
    <w:name w:val="Header Char"/>
    <w:basedOn w:val="DefaultParagraphFont"/>
    <w:link w:val="Header"/>
    <w:uiPriority w:val="99"/>
    <w:rsid w:val="006E79D9"/>
    <w:rPr>
      <w:rFonts w:ascii="Cambria" w:eastAsia="Times New Roman" w:hAnsi="Cambria" w:cs="Times New Roman"/>
      <w:sz w:val="20"/>
      <w:szCs w:val="20"/>
      <w:lang w:val="x-none" w:eastAsia="x-none" w:bidi="en-US"/>
    </w:rPr>
  </w:style>
  <w:style w:type="paragraph" w:styleId="Footer">
    <w:name w:val="footer"/>
    <w:basedOn w:val="Normal"/>
    <w:link w:val="FooterChar"/>
    <w:uiPriority w:val="99"/>
    <w:unhideWhenUsed/>
    <w:rsid w:val="006E79D9"/>
    <w:pPr>
      <w:tabs>
        <w:tab w:val="center" w:pos="4680"/>
        <w:tab w:val="right" w:pos="9360"/>
      </w:tabs>
      <w:spacing w:after="0" w:line="240" w:lineRule="auto"/>
    </w:pPr>
    <w:rPr>
      <w:rFonts w:ascii="Cambria" w:eastAsia="Times New Roman" w:hAnsi="Cambria" w:cs="Times New Roman"/>
      <w:sz w:val="20"/>
      <w:szCs w:val="20"/>
      <w:lang w:val="x-none" w:eastAsia="x-none" w:bidi="en-US"/>
    </w:rPr>
  </w:style>
  <w:style w:type="character" w:customStyle="1" w:styleId="FooterChar">
    <w:name w:val="Footer Char"/>
    <w:basedOn w:val="DefaultParagraphFont"/>
    <w:link w:val="Footer"/>
    <w:uiPriority w:val="99"/>
    <w:rsid w:val="006E79D9"/>
    <w:rPr>
      <w:rFonts w:ascii="Cambria" w:eastAsia="Times New Roman" w:hAnsi="Cambria" w:cs="Times New Roman"/>
      <w:sz w:val="20"/>
      <w:szCs w:val="20"/>
      <w:lang w:val="x-none" w:eastAsia="x-none" w:bidi="en-US"/>
    </w:rPr>
  </w:style>
  <w:style w:type="character" w:styleId="Hyperlink">
    <w:name w:val="Hyperlink"/>
    <w:basedOn w:val="DefaultParagraphFont"/>
    <w:uiPriority w:val="99"/>
    <w:unhideWhenUsed/>
    <w:rsid w:val="001E55BE"/>
    <w:rPr>
      <w:color w:val="0000FF" w:themeColor="hyperlink"/>
      <w:u w:val="single"/>
    </w:rPr>
  </w:style>
  <w:style w:type="paragraph" w:customStyle="1" w:styleId="MDPI71References">
    <w:name w:val="MDPI_7.1_References"/>
    <w:qFormat/>
    <w:rsid w:val="00F14150"/>
    <w:pPr>
      <w:numPr>
        <w:numId w:val="11"/>
      </w:numPr>
      <w:adjustRightInd w:val="0"/>
      <w:snapToGrid w:val="0"/>
      <w:spacing w:after="0" w:line="228" w:lineRule="auto"/>
      <w:jc w:val="both"/>
    </w:pPr>
    <w:rPr>
      <w:rFonts w:ascii="Palatino Linotype" w:eastAsia="Times New Roman" w:hAnsi="Palatino Linotype" w:cs="Times New Roman"/>
      <w:color w:val="000000"/>
      <w:sz w:val="18"/>
      <w:szCs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Abstract &amp; References Vol 25 No 6 (2021)</vt:lpstr>
    </vt:vector>
  </TitlesOfParts>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&amp; References Vol 25 No 6 (2021)</dc:title>
  <dc:creator>Harun Hamzah</dc:creator>
  <cp:lastModifiedBy>Harun Hamzah</cp:lastModifiedBy>
  <cp:revision>2</cp:revision>
  <cp:lastPrinted>2020-04-01T04:48:00Z</cp:lastPrinted>
  <dcterms:created xsi:type="dcterms:W3CDTF">2021-12-11T12:58:00Z</dcterms:created>
  <dcterms:modified xsi:type="dcterms:W3CDTF">2021-12-11T12:58:00Z</dcterms:modified>
</cp:coreProperties>
</file>