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7.xml" ContentType="application/vnd.openxmlformats-officedocument.wordprocessingml.footer+xml"/>
  <Override PartName="/word/charts/chart3.xml" ContentType="application/vnd.openxmlformats-officedocument.drawingml.chart+xml"/>
  <Override PartName="/word/footer8.xml" ContentType="application/vnd.openxmlformats-officedocument.wordprocessingml.footer+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footer9.xml" ContentType="application/vnd.openxmlformats-officedocument.wordprocessingml.footer+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BEE50F4" w14:textId="149A902E" w:rsidR="005912F0" w:rsidRPr="005912F0" w:rsidRDefault="005912F0" w:rsidP="00A80CA5">
      <w:pPr>
        <w:spacing w:after="0"/>
        <w:jc w:val="center"/>
        <w:rPr>
          <w:rFonts w:ascii="Times New Roman" w:eastAsia="MS Mincho" w:hAnsi="Times New Roman"/>
          <w:bCs/>
          <w:iCs/>
          <w:sz w:val="28"/>
          <w:lang w:bidi="ar-SA"/>
        </w:rPr>
      </w:pPr>
      <w:bookmarkStart w:id="0" w:name="_Hlk104619829"/>
      <w:bookmarkStart w:id="1" w:name="_Hlk105857001"/>
      <w:r w:rsidRPr="005912F0">
        <w:rPr>
          <w:rFonts w:ascii="Times New Roman" w:eastAsia="MS Mincho" w:hAnsi="Times New Roman"/>
          <w:bCs/>
          <w:iCs/>
          <w:sz w:val="28"/>
          <w:lang w:bidi="ar-SA"/>
        </w:rPr>
        <w:t xml:space="preserve">BIOSORPTION CAPACITY OF HEAVY METAL LEAD (Pb(II)) </w:t>
      </w:r>
    </w:p>
    <w:p w14:paraId="10A48B91" w14:textId="77777777" w:rsidR="005912F0" w:rsidRPr="005912F0" w:rsidRDefault="005912F0" w:rsidP="00A80CA5">
      <w:pPr>
        <w:spacing w:after="0"/>
        <w:jc w:val="center"/>
        <w:rPr>
          <w:rFonts w:ascii="Times New Roman" w:eastAsia="MS Mincho" w:hAnsi="Times New Roman"/>
          <w:b/>
          <w:i/>
          <w:iCs/>
          <w:sz w:val="28"/>
          <w:lang w:bidi="ar-SA"/>
        </w:rPr>
      </w:pPr>
      <w:r w:rsidRPr="005912F0">
        <w:rPr>
          <w:rFonts w:ascii="Times New Roman" w:eastAsia="MS Mincho" w:hAnsi="Times New Roman"/>
          <w:bCs/>
          <w:iCs/>
          <w:sz w:val="28"/>
          <w:lang w:bidi="ar-SA"/>
        </w:rPr>
        <w:t xml:space="preserve">USING DRY SEAWEED </w:t>
      </w:r>
      <w:r w:rsidRPr="005912F0">
        <w:rPr>
          <w:rFonts w:ascii="Times New Roman" w:eastAsia="MS Mincho" w:hAnsi="Times New Roman"/>
          <w:bCs/>
          <w:i/>
          <w:iCs/>
          <w:sz w:val="28"/>
          <w:lang w:bidi="ar-SA"/>
        </w:rPr>
        <w:t>Eucheuma denticulatum</w:t>
      </w:r>
      <w:r w:rsidRPr="005912F0">
        <w:rPr>
          <w:rFonts w:ascii="Times New Roman" w:eastAsia="MS Mincho" w:hAnsi="Times New Roman"/>
          <w:b/>
          <w:i/>
          <w:iCs/>
          <w:sz w:val="28"/>
          <w:lang w:bidi="ar-SA"/>
        </w:rPr>
        <w:t xml:space="preserve"> </w:t>
      </w:r>
    </w:p>
    <w:bookmarkEnd w:id="0"/>
    <w:p w14:paraId="349D3987" w14:textId="77777777" w:rsidR="006768E9" w:rsidRPr="00F447A7" w:rsidRDefault="006768E9" w:rsidP="00A80CA5">
      <w:pPr>
        <w:spacing w:after="0"/>
        <w:jc w:val="center"/>
        <w:rPr>
          <w:rFonts w:ascii="Times New Roman" w:hAnsi="Times New Roman"/>
          <w:noProof/>
          <w:sz w:val="24"/>
          <w:szCs w:val="24"/>
          <w:lang w:bidi="ar-SA"/>
        </w:rPr>
      </w:pPr>
    </w:p>
    <w:p w14:paraId="36D5BA2F" w14:textId="77777777" w:rsidR="005912F0" w:rsidRPr="005912F0" w:rsidRDefault="005912F0" w:rsidP="00A80CA5">
      <w:pPr>
        <w:spacing w:after="0"/>
        <w:jc w:val="center"/>
        <w:rPr>
          <w:rFonts w:ascii="Times New Roman" w:eastAsia="MS Mincho" w:hAnsi="Times New Roman"/>
          <w:bCs/>
          <w:sz w:val="24"/>
          <w:szCs w:val="20"/>
          <w:lang w:bidi="ar-SA"/>
        </w:rPr>
      </w:pPr>
      <w:r w:rsidRPr="005912F0">
        <w:rPr>
          <w:rFonts w:ascii="Times New Roman" w:eastAsia="MS Mincho" w:hAnsi="Times New Roman"/>
          <w:bCs/>
          <w:sz w:val="24"/>
          <w:szCs w:val="20"/>
          <w:lang w:bidi="ar-SA"/>
        </w:rPr>
        <w:t xml:space="preserve">(Kapasiti Biojerapan Logam Berat Plumbum (Pb(II)) Mengunakan Rumpai Laut Kering </w:t>
      </w:r>
      <w:r w:rsidRPr="005912F0">
        <w:rPr>
          <w:rFonts w:ascii="Times New Roman" w:eastAsia="MS Mincho" w:hAnsi="Times New Roman"/>
          <w:bCs/>
          <w:i/>
          <w:iCs/>
          <w:sz w:val="24"/>
          <w:szCs w:val="20"/>
          <w:lang w:bidi="ar-SA"/>
        </w:rPr>
        <w:t>Eucheuma denticulatum</w:t>
      </w:r>
      <w:r w:rsidRPr="005912F0">
        <w:rPr>
          <w:rFonts w:ascii="Times New Roman" w:eastAsia="MS Mincho" w:hAnsi="Times New Roman"/>
          <w:bCs/>
          <w:sz w:val="24"/>
          <w:szCs w:val="20"/>
          <w:lang w:bidi="ar-SA"/>
        </w:rPr>
        <w:t>)</w:t>
      </w:r>
    </w:p>
    <w:p w14:paraId="4A07C562" w14:textId="77777777" w:rsidR="006768E9" w:rsidRPr="00F447A7" w:rsidRDefault="006768E9" w:rsidP="00A80CA5">
      <w:pPr>
        <w:spacing w:after="0"/>
        <w:jc w:val="center"/>
        <w:rPr>
          <w:rFonts w:ascii="Times New Roman" w:hAnsi="Times New Roman"/>
          <w:noProof/>
          <w:sz w:val="20"/>
          <w:szCs w:val="20"/>
          <w:lang w:bidi="ar-SA"/>
        </w:rPr>
      </w:pPr>
    </w:p>
    <w:p w14:paraId="40C666E4" w14:textId="37752A05" w:rsidR="005912F0" w:rsidRDefault="005912F0" w:rsidP="00A80CA5">
      <w:pPr>
        <w:spacing w:after="0"/>
        <w:jc w:val="center"/>
        <w:rPr>
          <w:rFonts w:ascii="Times New Roman" w:eastAsia="MS Mincho" w:hAnsi="Times New Roman"/>
          <w:bCs/>
          <w:iCs/>
          <w:sz w:val="20"/>
          <w:szCs w:val="16"/>
          <w:lang w:bidi="ar-SA"/>
        </w:rPr>
      </w:pPr>
      <w:r w:rsidRPr="005912F0">
        <w:rPr>
          <w:rFonts w:ascii="Times New Roman" w:eastAsia="MS Mincho" w:hAnsi="Times New Roman"/>
          <w:bCs/>
          <w:iCs/>
          <w:sz w:val="20"/>
          <w:szCs w:val="16"/>
          <w:lang w:bidi="ar-SA"/>
        </w:rPr>
        <w:t xml:space="preserve">Hamad Maalim Sharif </w:t>
      </w:r>
      <w:r w:rsidRPr="005912F0">
        <w:rPr>
          <w:rFonts w:ascii="Times New Roman" w:eastAsia="MS Mincho" w:hAnsi="Times New Roman"/>
          <w:bCs/>
          <w:iCs/>
          <w:sz w:val="20"/>
          <w:szCs w:val="16"/>
          <w:vertAlign w:val="superscript"/>
          <w:lang w:bidi="ar-SA"/>
        </w:rPr>
        <w:t>1</w:t>
      </w:r>
      <w:r w:rsidRPr="005912F0">
        <w:rPr>
          <w:rFonts w:ascii="Times New Roman" w:eastAsia="MS Mincho" w:hAnsi="Times New Roman"/>
          <w:bCs/>
          <w:iCs/>
          <w:sz w:val="20"/>
          <w:szCs w:val="16"/>
          <w:lang w:bidi="ar-SA"/>
        </w:rPr>
        <w:t xml:space="preserve">, Yahya Makame </w:t>
      </w:r>
      <w:r w:rsidRPr="005912F0">
        <w:rPr>
          <w:rFonts w:ascii="Times New Roman" w:eastAsia="MS Mincho" w:hAnsi="Times New Roman"/>
          <w:bCs/>
          <w:iCs/>
          <w:sz w:val="20"/>
          <w:szCs w:val="16"/>
          <w:vertAlign w:val="superscript"/>
          <w:lang w:bidi="ar-SA"/>
        </w:rPr>
        <w:t>2</w:t>
      </w:r>
      <w:r w:rsidRPr="005912F0">
        <w:rPr>
          <w:rFonts w:ascii="Times New Roman" w:eastAsia="MS Mincho" w:hAnsi="Times New Roman"/>
          <w:bCs/>
          <w:iCs/>
          <w:sz w:val="20"/>
          <w:szCs w:val="16"/>
          <w:lang w:bidi="ar-SA"/>
        </w:rPr>
        <w:t>,</w:t>
      </w:r>
      <w:r w:rsidRPr="005912F0">
        <w:rPr>
          <w:rFonts w:ascii="Times New Roman" w:eastAsia="MS Mincho" w:hAnsi="Times New Roman"/>
          <w:bCs/>
          <w:iCs/>
          <w:sz w:val="20"/>
          <w:szCs w:val="16"/>
          <w:vertAlign w:val="superscript"/>
          <w:lang w:bidi="ar-SA"/>
        </w:rPr>
        <w:t xml:space="preserve"> </w:t>
      </w:r>
      <w:r w:rsidRPr="005912F0">
        <w:rPr>
          <w:rFonts w:ascii="Times New Roman" w:eastAsia="MS Mincho" w:hAnsi="Times New Roman"/>
          <w:bCs/>
          <w:iCs/>
          <w:sz w:val="20"/>
          <w:szCs w:val="16"/>
          <w:lang w:bidi="ar-SA"/>
        </w:rPr>
        <w:t xml:space="preserve">Mohammed Ali Sheikh </w:t>
      </w:r>
      <w:r w:rsidRPr="005912F0">
        <w:rPr>
          <w:rFonts w:ascii="Times New Roman" w:eastAsia="MS Mincho" w:hAnsi="Times New Roman"/>
          <w:bCs/>
          <w:iCs/>
          <w:sz w:val="20"/>
          <w:szCs w:val="16"/>
          <w:vertAlign w:val="superscript"/>
          <w:lang w:bidi="ar-SA"/>
        </w:rPr>
        <w:t>3</w:t>
      </w:r>
      <w:r w:rsidRPr="005912F0">
        <w:rPr>
          <w:rFonts w:ascii="Times New Roman" w:eastAsia="MS Mincho" w:hAnsi="Times New Roman"/>
          <w:bCs/>
          <w:iCs/>
          <w:sz w:val="20"/>
          <w:szCs w:val="16"/>
          <w:lang w:bidi="ar-SA"/>
        </w:rPr>
        <w:t xml:space="preserve">, Hasrizal Shaari </w:t>
      </w:r>
      <w:r w:rsidRPr="005912F0">
        <w:rPr>
          <w:rFonts w:ascii="Times New Roman" w:eastAsia="MS Mincho" w:hAnsi="Times New Roman"/>
          <w:bCs/>
          <w:iCs/>
          <w:sz w:val="20"/>
          <w:szCs w:val="16"/>
          <w:vertAlign w:val="superscript"/>
          <w:lang w:bidi="ar-SA"/>
        </w:rPr>
        <w:t>1,4</w:t>
      </w:r>
      <w:r w:rsidRPr="00A80CA5">
        <w:rPr>
          <w:rFonts w:ascii="Times New Roman" w:eastAsia="MS Mincho" w:hAnsi="Times New Roman"/>
          <w:bCs/>
          <w:iCs/>
          <w:sz w:val="20"/>
          <w:szCs w:val="16"/>
          <w:lang w:bidi="ar-SA"/>
        </w:rPr>
        <w:t>*</w:t>
      </w:r>
      <w:r w:rsidRPr="005912F0">
        <w:rPr>
          <w:rFonts w:ascii="Times New Roman" w:eastAsia="MS Mincho" w:hAnsi="Times New Roman"/>
          <w:bCs/>
          <w:iCs/>
          <w:sz w:val="20"/>
          <w:szCs w:val="16"/>
          <w:lang w:bidi="ar-SA"/>
        </w:rPr>
        <w:t>, Rokiah Suriadi</w:t>
      </w:r>
      <w:r w:rsidRPr="005912F0">
        <w:rPr>
          <w:rFonts w:ascii="Times New Roman" w:eastAsia="MS Mincho" w:hAnsi="Times New Roman"/>
          <w:bCs/>
          <w:iCs/>
          <w:sz w:val="20"/>
          <w:szCs w:val="16"/>
          <w:vertAlign w:val="superscript"/>
          <w:lang w:bidi="ar-SA"/>
        </w:rPr>
        <w:t>1</w:t>
      </w:r>
      <w:r w:rsidR="001921CF">
        <w:rPr>
          <w:rFonts w:ascii="Times New Roman" w:eastAsia="MS Mincho" w:hAnsi="Times New Roman"/>
          <w:bCs/>
          <w:iCs/>
          <w:sz w:val="20"/>
          <w:szCs w:val="16"/>
          <w:lang w:bidi="ar-SA"/>
        </w:rPr>
        <w:t>,</w:t>
      </w:r>
    </w:p>
    <w:p w14:paraId="24D9C09C" w14:textId="1397FCE6" w:rsidR="001921CF" w:rsidRPr="001921CF" w:rsidRDefault="001921CF" w:rsidP="00A80CA5">
      <w:pPr>
        <w:spacing w:after="0"/>
        <w:jc w:val="center"/>
        <w:rPr>
          <w:rFonts w:ascii="Times New Roman" w:eastAsia="MS Mincho" w:hAnsi="Times New Roman"/>
          <w:bCs/>
          <w:iCs/>
          <w:sz w:val="20"/>
          <w:szCs w:val="16"/>
          <w:lang w:bidi="ar-SA"/>
        </w:rPr>
      </w:pPr>
      <w:r>
        <w:rPr>
          <w:rFonts w:ascii="Times New Roman" w:eastAsia="MS Mincho" w:hAnsi="Times New Roman"/>
          <w:bCs/>
          <w:iCs/>
          <w:sz w:val="20"/>
          <w:szCs w:val="16"/>
          <w:lang w:bidi="ar-SA"/>
        </w:rPr>
        <w:t>Fatin Izzati Minhat</w:t>
      </w:r>
      <w:r w:rsidRPr="001921CF">
        <w:rPr>
          <w:rFonts w:ascii="Times New Roman" w:eastAsia="MS Mincho" w:hAnsi="Times New Roman"/>
          <w:bCs/>
          <w:iCs/>
          <w:sz w:val="20"/>
          <w:szCs w:val="16"/>
          <w:vertAlign w:val="superscript"/>
          <w:lang w:bidi="ar-SA"/>
        </w:rPr>
        <w:t>4</w:t>
      </w:r>
    </w:p>
    <w:p w14:paraId="539EED43" w14:textId="77777777" w:rsidR="00A80CA5" w:rsidRPr="00A80CA5" w:rsidRDefault="00A80CA5" w:rsidP="00A80CA5">
      <w:pPr>
        <w:adjustRightInd w:val="0"/>
        <w:snapToGrid w:val="0"/>
        <w:spacing w:after="0"/>
        <w:jc w:val="center"/>
        <w:rPr>
          <w:rFonts w:ascii="Times New Roman" w:eastAsia="MS Mincho" w:hAnsi="Times New Roman"/>
          <w:i/>
          <w:iCs/>
          <w:sz w:val="18"/>
          <w:szCs w:val="18"/>
          <w:lang w:eastAsia="ja-JP" w:bidi="ar-SA"/>
        </w:rPr>
      </w:pPr>
    </w:p>
    <w:p w14:paraId="19312F30" w14:textId="77777777" w:rsidR="00A80CA5"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vertAlign w:val="superscript"/>
          <w:lang w:eastAsia="ja-JP" w:bidi="ar-SA"/>
        </w:rPr>
        <w:t>1</w:t>
      </w:r>
      <w:r w:rsidRPr="005912F0">
        <w:rPr>
          <w:rFonts w:ascii="Times New Roman" w:eastAsia="MS Mincho" w:hAnsi="Times New Roman"/>
          <w:i/>
          <w:iCs/>
          <w:sz w:val="18"/>
          <w:szCs w:val="18"/>
          <w:lang w:eastAsia="ja-JP" w:bidi="ar-SA"/>
        </w:rPr>
        <w:t xml:space="preserve">Institute of Oceanography and Environment, </w:t>
      </w:r>
    </w:p>
    <w:p w14:paraId="64AD7E61" w14:textId="0E059883"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lang w:eastAsia="ja-JP" w:bidi="ar-SA"/>
        </w:rPr>
        <w:t>Universiti Malaysia Terengganu,</w:t>
      </w:r>
      <w:r w:rsidR="00A80CA5">
        <w:rPr>
          <w:rFonts w:ascii="Times New Roman" w:eastAsia="MS Mincho" w:hAnsi="Times New Roman"/>
          <w:i/>
          <w:iCs/>
          <w:sz w:val="18"/>
          <w:szCs w:val="18"/>
          <w:lang w:eastAsia="ja-JP" w:bidi="ar-SA"/>
        </w:rPr>
        <w:t xml:space="preserve"> </w:t>
      </w:r>
      <w:r w:rsidRPr="005912F0">
        <w:rPr>
          <w:rFonts w:ascii="Times New Roman" w:eastAsia="MS Mincho" w:hAnsi="Times New Roman"/>
          <w:i/>
          <w:iCs/>
          <w:sz w:val="18"/>
          <w:szCs w:val="18"/>
          <w:lang w:eastAsia="ja-JP" w:bidi="ar-SA"/>
        </w:rPr>
        <w:t>21030, Kuala Nerus, Terengganu, Malaysia</w:t>
      </w:r>
    </w:p>
    <w:p w14:paraId="6ED62E52" w14:textId="77777777"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vertAlign w:val="superscript"/>
          <w:lang w:eastAsia="ja-JP" w:bidi="ar-SA"/>
        </w:rPr>
        <w:t>2</w:t>
      </w:r>
      <w:r w:rsidRPr="005912F0">
        <w:rPr>
          <w:rFonts w:ascii="Times New Roman" w:eastAsia="MS Mincho" w:hAnsi="Times New Roman"/>
          <w:i/>
          <w:iCs/>
          <w:sz w:val="18"/>
          <w:szCs w:val="18"/>
          <w:lang w:eastAsia="ja-JP" w:bidi="ar-SA"/>
        </w:rPr>
        <w:t xml:space="preserve">Chemistry Department, School of Natural and Applied Sciences, </w:t>
      </w:r>
    </w:p>
    <w:p w14:paraId="29BBECE3" w14:textId="77777777"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lang w:eastAsia="ja-JP" w:bidi="ar-SA"/>
        </w:rPr>
        <w:t>University of Dar es Salaam, P.O. Box 35065, Dar es Salaam, Tanzania</w:t>
      </w:r>
    </w:p>
    <w:p w14:paraId="297B85ED" w14:textId="77777777"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vertAlign w:val="superscript"/>
          <w:lang w:eastAsia="ja-JP" w:bidi="ar-SA"/>
        </w:rPr>
        <w:t>3</w:t>
      </w:r>
      <w:r w:rsidRPr="005912F0">
        <w:rPr>
          <w:rFonts w:ascii="Times New Roman" w:eastAsia="MS Mincho" w:hAnsi="Times New Roman"/>
          <w:i/>
          <w:iCs/>
          <w:sz w:val="18"/>
          <w:szCs w:val="18"/>
          <w:lang w:eastAsia="ja-JP" w:bidi="ar-SA"/>
        </w:rPr>
        <w:t xml:space="preserve">School of Natural and Social Sciences, </w:t>
      </w:r>
    </w:p>
    <w:p w14:paraId="02CD9730" w14:textId="77777777"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lang w:eastAsia="ja-JP" w:bidi="ar-SA"/>
        </w:rPr>
        <w:t>The State University of Zanzibar, P. O. Box 146, Zanzibar, Tanzania</w:t>
      </w:r>
    </w:p>
    <w:p w14:paraId="4C426B48" w14:textId="77777777" w:rsidR="00A80CA5"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vertAlign w:val="superscript"/>
          <w:lang w:eastAsia="ja-JP" w:bidi="ar-SA"/>
        </w:rPr>
        <w:t>4</w:t>
      </w:r>
      <w:r w:rsidRPr="005912F0">
        <w:rPr>
          <w:rFonts w:ascii="Times New Roman" w:eastAsia="MS Mincho" w:hAnsi="Times New Roman"/>
          <w:i/>
          <w:iCs/>
          <w:sz w:val="18"/>
          <w:szCs w:val="18"/>
          <w:lang w:eastAsia="ja-JP" w:bidi="ar-SA"/>
        </w:rPr>
        <w:t xml:space="preserve">Faculty of Science and Marine Environment, </w:t>
      </w:r>
    </w:p>
    <w:p w14:paraId="0B58F7FA" w14:textId="32E6C4E5" w:rsidR="005912F0" w:rsidRPr="005912F0" w:rsidRDefault="005912F0" w:rsidP="00A80CA5">
      <w:pPr>
        <w:adjustRightInd w:val="0"/>
        <w:snapToGrid w:val="0"/>
        <w:spacing w:after="0"/>
        <w:jc w:val="center"/>
        <w:rPr>
          <w:rFonts w:ascii="Times New Roman" w:eastAsia="MS Mincho" w:hAnsi="Times New Roman"/>
          <w:i/>
          <w:iCs/>
          <w:sz w:val="18"/>
          <w:szCs w:val="18"/>
          <w:lang w:eastAsia="ja-JP" w:bidi="ar-SA"/>
        </w:rPr>
      </w:pPr>
      <w:r w:rsidRPr="005912F0">
        <w:rPr>
          <w:rFonts w:ascii="Times New Roman" w:eastAsia="MS Mincho" w:hAnsi="Times New Roman"/>
          <w:i/>
          <w:iCs/>
          <w:sz w:val="18"/>
          <w:szCs w:val="18"/>
          <w:lang w:eastAsia="ja-JP" w:bidi="ar-SA"/>
        </w:rPr>
        <w:t>Universiti Malaysia Terengganu,</w:t>
      </w:r>
      <w:r w:rsidR="00A80CA5">
        <w:rPr>
          <w:rFonts w:ascii="Times New Roman" w:eastAsia="MS Mincho" w:hAnsi="Times New Roman"/>
          <w:i/>
          <w:iCs/>
          <w:sz w:val="18"/>
          <w:szCs w:val="18"/>
          <w:lang w:eastAsia="ja-JP" w:bidi="ar-SA"/>
        </w:rPr>
        <w:t xml:space="preserve"> </w:t>
      </w:r>
      <w:r w:rsidRPr="005912F0">
        <w:rPr>
          <w:rFonts w:ascii="Times New Roman" w:eastAsia="MS Mincho" w:hAnsi="Times New Roman"/>
          <w:i/>
          <w:iCs/>
          <w:sz w:val="18"/>
          <w:szCs w:val="18"/>
          <w:lang w:eastAsia="ja-JP" w:bidi="ar-SA"/>
        </w:rPr>
        <w:t>21030, Kuala Nerus, Terengganu, Malaysia</w:t>
      </w:r>
    </w:p>
    <w:p w14:paraId="269E47F3" w14:textId="77777777" w:rsidR="005912F0" w:rsidRPr="005912F0" w:rsidRDefault="005912F0" w:rsidP="00A80CA5">
      <w:pPr>
        <w:adjustRightInd w:val="0"/>
        <w:snapToGrid w:val="0"/>
        <w:spacing w:after="0"/>
        <w:rPr>
          <w:rFonts w:ascii="Times New Roman" w:eastAsia="MS Mincho" w:hAnsi="Times New Roman"/>
          <w:i/>
          <w:iCs/>
          <w:sz w:val="18"/>
          <w:szCs w:val="18"/>
          <w:lang w:eastAsia="ja-JP" w:bidi="ar-SA"/>
        </w:rPr>
      </w:pPr>
    </w:p>
    <w:p w14:paraId="4FEA78F6" w14:textId="77777777" w:rsidR="005912F0" w:rsidRPr="005912F0" w:rsidRDefault="005912F0" w:rsidP="00A80CA5">
      <w:pPr>
        <w:spacing w:after="0"/>
        <w:jc w:val="center"/>
        <w:outlineLvl w:val="0"/>
        <w:rPr>
          <w:rFonts w:ascii="Times New Roman" w:eastAsia="MS Mincho" w:hAnsi="Times New Roman"/>
          <w:i/>
          <w:color w:val="548DD4"/>
          <w:sz w:val="18"/>
          <w:lang w:bidi="ar-SA"/>
        </w:rPr>
      </w:pPr>
      <w:r w:rsidRPr="00A80CA5">
        <w:rPr>
          <w:rFonts w:ascii="Times New Roman" w:eastAsia="MS Mincho" w:hAnsi="Times New Roman"/>
          <w:i/>
          <w:sz w:val="18"/>
          <w:lang w:bidi="ar-SA"/>
        </w:rPr>
        <w:t>*</w:t>
      </w:r>
      <w:r w:rsidRPr="005912F0">
        <w:rPr>
          <w:rFonts w:ascii="Times New Roman" w:eastAsia="MS Mincho" w:hAnsi="Times New Roman"/>
          <w:i/>
          <w:sz w:val="18"/>
          <w:lang w:bidi="ar-SA"/>
        </w:rPr>
        <w:t>Corresponding author: riz@umt.edu.my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38CFC80F"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Received:</w:t>
      </w:r>
      <w:r w:rsidR="005912F0">
        <w:rPr>
          <w:rFonts w:ascii="Times New Roman" w:hAnsi="Times New Roman"/>
          <w:noProof/>
          <w:sz w:val="18"/>
          <w:szCs w:val="18"/>
          <w:lang w:bidi="ar-SA"/>
        </w:rPr>
        <w:t xml:space="preserve"> 29 October 2021</w:t>
      </w:r>
      <w:r>
        <w:rPr>
          <w:rFonts w:ascii="Times New Roman" w:hAnsi="Times New Roman"/>
          <w:noProof/>
          <w:sz w:val="18"/>
          <w:szCs w:val="18"/>
          <w:lang w:bidi="ar-SA"/>
        </w:rPr>
        <w:t>; Accepted:</w:t>
      </w:r>
      <w:r w:rsidR="005912F0">
        <w:rPr>
          <w:rFonts w:ascii="Times New Roman" w:hAnsi="Times New Roman"/>
          <w:noProof/>
          <w:sz w:val="18"/>
          <w:szCs w:val="18"/>
          <w:lang w:bidi="ar-SA"/>
        </w:rPr>
        <w:t xml:space="preserve"> 27 February 202</w:t>
      </w:r>
      <w:r w:rsidR="00453480">
        <w:rPr>
          <w:rFonts w:ascii="Times New Roman" w:hAnsi="Times New Roman"/>
          <w:noProof/>
          <w:sz w:val="18"/>
          <w:szCs w:val="18"/>
          <w:lang w:bidi="ar-SA"/>
        </w:rPr>
        <w:t>2</w:t>
      </w:r>
      <w:r>
        <w:rPr>
          <w:rFonts w:ascii="Times New Roman" w:hAnsi="Times New Roman"/>
          <w:noProof/>
          <w:sz w:val="18"/>
          <w:szCs w:val="18"/>
          <w:lang w:bidi="ar-SA"/>
        </w:rPr>
        <w:t xml:space="preserve"> </w:t>
      </w:r>
      <w:r w:rsidR="00F82059">
        <w:rPr>
          <w:rFonts w:ascii="Times New Roman" w:hAnsi="Times New Roman"/>
          <w:noProof/>
          <w:sz w:val="18"/>
          <w:szCs w:val="18"/>
          <w:lang w:bidi="ar-SA"/>
        </w:rPr>
        <w:t xml:space="preserve">; Published: </w:t>
      </w:r>
      <w:r w:rsidR="003B4ACB">
        <w:rPr>
          <w:rFonts w:ascii="Times New Roman" w:hAnsi="Times New Roman"/>
          <w:noProof/>
          <w:sz w:val="18"/>
          <w:szCs w:val="18"/>
          <w:lang w:bidi="ar-SA"/>
        </w:rPr>
        <w:t>27</w:t>
      </w:r>
      <w:r w:rsidR="00A80CA5">
        <w:rPr>
          <w:rFonts w:ascii="Times New Roman" w:hAnsi="Times New Roman"/>
          <w:noProof/>
          <w:sz w:val="18"/>
          <w:szCs w:val="18"/>
          <w:lang w:bidi="ar-SA"/>
        </w:rPr>
        <w:t xml:space="preserve"> June 2022</w:t>
      </w:r>
      <w:r w:rsidR="00F82059">
        <w:rPr>
          <w:rFonts w:ascii="Times New Roman" w:hAnsi="Times New Roman"/>
          <w:noProof/>
          <w:sz w:val="18"/>
          <w:szCs w:val="18"/>
          <w:lang w:bidi="ar-SA"/>
        </w:rPr>
        <w:t xml:space="preserve"> </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3D5E23A2" w:rsidR="006768E9" w:rsidRPr="00F447A7" w:rsidRDefault="006768E9" w:rsidP="00A80CA5">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D50361B" w14:textId="41C3644C" w:rsidR="006768E9" w:rsidRDefault="00B238A8" w:rsidP="00A80CA5">
      <w:pPr>
        <w:keepNext/>
        <w:spacing w:after="0"/>
        <w:jc w:val="both"/>
        <w:outlineLvl w:val="3"/>
        <w:rPr>
          <w:rFonts w:ascii="Times New Roman" w:eastAsia="MS Mincho" w:hAnsi="Times New Roman"/>
          <w:bCs/>
          <w:sz w:val="18"/>
          <w:szCs w:val="14"/>
          <w:lang w:bidi="ar-SA"/>
        </w:rPr>
      </w:pPr>
      <w:r w:rsidRPr="00B238A8">
        <w:rPr>
          <w:rFonts w:ascii="Times New Roman" w:eastAsia="MS Mincho" w:hAnsi="Times New Roman"/>
          <w:sz w:val="18"/>
          <w:szCs w:val="14"/>
          <w:lang w:bidi="ar-SA"/>
        </w:rPr>
        <w:t xml:space="preserve">The seaweed industry plays a significant socio-economic role </w:t>
      </w:r>
      <w:r w:rsidRPr="00B238A8">
        <w:rPr>
          <w:rFonts w:ascii="Times New Roman" w:eastAsia="MS Mincho" w:hAnsi="Times New Roman"/>
          <w:sz w:val="18"/>
          <w:szCs w:val="14"/>
          <w:lang w:val="en-MY" w:bidi="ar-SA"/>
        </w:rPr>
        <w:t xml:space="preserve">in </w:t>
      </w:r>
      <w:r w:rsidRPr="00B238A8">
        <w:rPr>
          <w:rFonts w:ascii="Times New Roman" w:eastAsia="MS Mincho" w:hAnsi="Times New Roman"/>
          <w:sz w:val="18"/>
          <w:szCs w:val="14"/>
          <w:lang w:bidi="ar-SA"/>
        </w:rPr>
        <w:t xml:space="preserve">tropical coastal communities. </w:t>
      </w:r>
      <w:r w:rsidRPr="00B238A8">
        <w:rPr>
          <w:rFonts w:ascii="Times New Roman" w:eastAsia="MS Mincho" w:hAnsi="Times New Roman"/>
          <w:bCs/>
          <w:sz w:val="18"/>
          <w:szCs w:val="14"/>
          <w:lang w:bidi="ar-SA"/>
        </w:rPr>
        <w:t>Th</w:t>
      </w:r>
      <w:r w:rsidRPr="00B238A8">
        <w:rPr>
          <w:rFonts w:ascii="Times New Roman" w:eastAsia="MS Mincho" w:hAnsi="Times New Roman"/>
          <w:bCs/>
          <w:sz w:val="18"/>
          <w:szCs w:val="14"/>
          <w:lang w:val="en-MY" w:bidi="ar-SA"/>
        </w:rPr>
        <w:t>is</w:t>
      </w:r>
      <w:r w:rsidRPr="00B238A8">
        <w:rPr>
          <w:rFonts w:ascii="Times New Roman" w:eastAsia="MS Mincho" w:hAnsi="Times New Roman"/>
          <w:bCs/>
          <w:sz w:val="18"/>
          <w:szCs w:val="14"/>
          <w:lang w:bidi="ar-SA"/>
        </w:rPr>
        <w:t xml:space="preserve"> study presents the biosorption beha</w:t>
      </w:r>
      <w:r w:rsidRPr="00B238A8">
        <w:rPr>
          <w:rFonts w:ascii="Times New Roman" w:eastAsia="MS Mincho" w:hAnsi="Times New Roman"/>
          <w:bCs/>
          <w:sz w:val="18"/>
          <w:szCs w:val="14"/>
          <w:lang w:val="en-MY" w:bidi="ar-SA"/>
        </w:rPr>
        <w:t>viour</w:t>
      </w:r>
      <w:r w:rsidRPr="00B238A8">
        <w:rPr>
          <w:rFonts w:ascii="Times New Roman" w:eastAsia="MS Mincho" w:hAnsi="Times New Roman"/>
          <w:bCs/>
          <w:sz w:val="18"/>
          <w:szCs w:val="14"/>
          <w:lang w:bidi="ar-SA"/>
        </w:rPr>
        <w:t xml:space="preserve"> of Pb(II) aqueous solution onto seaweed </w:t>
      </w:r>
      <w:r w:rsidRPr="00B238A8">
        <w:rPr>
          <w:rFonts w:ascii="Times New Roman" w:eastAsia="MS Mincho" w:hAnsi="Times New Roman"/>
          <w:bCs/>
          <w:i/>
          <w:sz w:val="18"/>
          <w:szCs w:val="14"/>
          <w:lang w:bidi="ar-SA"/>
        </w:rPr>
        <w:t>E. denticulatum</w:t>
      </w:r>
      <w:r w:rsidRPr="00B238A8">
        <w:rPr>
          <w:rFonts w:ascii="Times New Roman" w:eastAsia="MS Mincho" w:hAnsi="Times New Roman"/>
          <w:bCs/>
          <w:sz w:val="18"/>
          <w:szCs w:val="14"/>
          <w:lang w:bidi="ar-SA"/>
        </w:rPr>
        <w:t xml:space="preserve">. The impact of pH contact time, </w:t>
      </w:r>
      <w:r w:rsidRPr="00B238A8">
        <w:rPr>
          <w:rFonts w:ascii="Times New Roman" w:eastAsia="MS Mincho" w:hAnsi="Times New Roman"/>
          <w:bCs/>
          <w:sz w:val="18"/>
          <w:szCs w:val="14"/>
          <w:lang w:val="en-MY" w:bidi="ar-SA"/>
        </w:rPr>
        <w:t xml:space="preserve">the </w:t>
      </w:r>
      <w:r w:rsidRPr="00B238A8">
        <w:rPr>
          <w:rFonts w:ascii="Times New Roman" w:eastAsia="MS Mincho" w:hAnsi="Times New Roman"/>
          <w:bCs/>
          <w:sz w:val="18"/>
          <w:szCs w:val="14"/>
          <w:lang w:bidi="ar-SA"/>
        </w:rPr>
        <w:t xml:space="preserve">initial concentration of the metals, and the adsorption </w:t>
      </w:r>
      <w:r w:rsidRPr="00B238A8">
        <w:rPr>
          <w:rFonts w:ascii="Times New Roman" w:eastAsia="MS Mincho" w:hAnsi="Times New Roman"/>
          <w:bCs/>
          <w:sz w:val="18"/>
          <w:szCs w:val="14"/>
          <w:lang w:val="en-MY" w:bidi="ar-SA"/>
        </w:rPr>
        <w:t xml:space="preserve">activities </w:t>
      </w:r>
      <w:r w:rsidRPr="00B238A8">
        <w:rPr>
          <w:rFonts w:ascii="Times New Roman" w:eastAsia="MS Mincho" w:hAnsi="Times New Roman"/>
          <w:bCs/>
          <w:sz w:val="18"/>
          <w:szCs w:val="14"/>
          <w:lang w:bidi="ar-SA"/>
        </w:rPr>
        <w:t xml:space="preserve">were studied. The findings demonstrated that </w:t>
      </w:r>
      <w:r w:rsidRPr="00B238A8">
        <w:rPr>
          <w:rFonts w:ascii="Times New Roman" w:eastAsia="MS Mincho" w:hAnsi="Times New Roman"/>
          <w:bCs/>
          <w:sz w:val="18"/>
          <w:szCs w:val="14"/>
          <w:lang w:val="en-MY" w:bidi="ar-SA"/>
        </w:rPr>
        <w:t xml:space="preserve">the </w:t>
      </w:r>
      <w:r w:rsidRPr="00B238A8">
        <w:rPr>
          <w:rFonts w:ascii="Times New Roman" w:eastAsia="MS Mincho" w:hAnsi="Times New Roman"/>
          <w:bCs/>
          <w:sz w:val="18"/>
          <w:szCs w:val="14"/>
          <w:lang w:bidi="ar-SA"/>
        </w:rPr>
        <w:t xml:space="preserve">Pb(II) uptake rate </w:t>
      </w:r>
      <w:r w:rsidRPr="00B238A8">
        <w:rPr>
          <w:rFonts w:ascii="Times New Roman" w:eastAsia="MS Mincho" w:hAnsi="Times New Roman"/>
          <w:bCs/>
          <w:sz w:val="18"/>
          <w:szCs w:val="14"/>
          <w:lang w:val="en-MY" w:bidi="ar-SA"/>
        </w:rPr>
        <w:t xml:space="preserve">rose </w:t>
      </w:r>
      <w:r w:rsidRPr="00B238A8">
        <w:rPr>
          <w:rFonts w:ascii="Times New Roman" w:eastAsia="MS Mincho" w:hAnsi="Times New Roman"/>
          <w:bCs/>
          <w:sz w:val="18"/>
          <w:szCs w:val="14"/>
          <w:lang w:bidi="ar-SA"/>
        </w:rPr>
        <w:t xml:space="preserve">with increased concentration and contact time. The Pb(II) uptake reached saturation at 1000 mg/L after 120 min at room temperature. Pb(II) biosorption onto </w:t>
      </w:r>
      <w:r w:rsidRPr="00B238A8">
        <w:rPr>
          <w:rFonts w:ascii="Times New Roman" w:eastAsia="MS Mincho" w:hAnsi="Times New Roman"/>
          <w:bCs/>
          <w:i/>
          <w:iCs/>
          <w:sz w:val="18"/>
          <w:szCs w:val="14"/>
          <w:lang w:bidi="ar-SA"/>
        </w:rPr>
        <w:t>Eucheuma</w:t>
      </w:r>
      <w:r w:rsidRPr="00B238A8">
        <w:rPr>
          <w:rFonts w:ascii="Times New Roman" w:eastAsia="MS Mincho" w:hAnsi="Times New Roman"/>
          <w:bCs/>
          <w:i/>
          <w:sz w:val="18"/>
          <w:szCs w:val="14"/>
          <w:lang w:bidi="ar-SA"/>
        </w:rPr>
        <w:t xml:space="preserve"> denticulatum</w:t>
      </w:r>
      <w:r w:rsidRPr="00B238A8">
        <w:rPr>
          <w:rFonts w:ascii="Times New Roman" w:eastAsia="MS Mincho" w:hAnsi="Times New Roman"/>
          <w:bCs/>
          <w:sz w:val="18"/>
          <w:szCs w:val="14"/>
          <w:lang w:bidi="ar-SA"/>
        </w:rPr>
        <w:t xml:space="preserve"> fitted well to </w:t>
      </w:r>
      <w:r w:rsidRPr="00B238A8">
        <w:rPr>
          <w:rFonts w:ascii="Times New Roman" w:eastAsia="MS Mincho" w:hAnsi="Times New Roman"/>
          <w:bCs/>
          <w:sz w:val="18"/>
          <w:szCs w:val="14"/>
          <w:lang w:val="en-MY" w:bidi="ar-SA"/>
        </w:rPr>
        <w:t xml:space="preserve">the </w:t>
      </w:r>
      <w:r w:rsidRPr="00B238A8">
        <w:rPr>
          <w:rFonts w:ascii="Times New Roman" w:eastAsia="MS Mincho" w:hAnsi="Times New Roman"/>
          <w:bCs/>
          <w:sz w:val="18"/>
          <w:szCs w:val="14"/>
          <w:lang w:bidi="ar-SA"/>
        </w:rPr>
        <w:t>Langmuir isotherm</w:t>
      </w:r>
      <w:r w:rsidRPr="00B238A8">
        <w:rPr>
          <w:rFonts w:ascii="Times New Roman" w:eastAsia="MS Mincho" w:hAnsi="Times New Roman"/>
          <w:bCs/>
          <w:sz w:val="18"/>
          <w:szCs w:val="14"/>
          <w:lang w:val="en-MY" w:bidi="ar-SA"/>
        </w:rPr>
        <w:t>,</w:t>
      </w:r>
      <w:r w:rsidRPr="00B238A8">
        <w:rPr>
          <w:rFonts w:ascii="Times New Roman" w:eastAsia="MS Mincho" w:hAnsi="Times New Roman"/>
          <w:bCs/>
          <w:sz w:val="18"/>
          <w:szCs w:val="14"/>
          <w:lang w:bidi="ar-SA"/>
        </w:rPr>
        <w:t xml:space="preserve"> with a maximum adsorption capacity (</w:t>
      </w:r>
      <w:r w:rsidRPr="00B238A8">
        <w:rPr>
          <w:rFonts w:ascii="Times New Roman" w:eastAsia="MS Mincho" w:hAnsi="Times New Roman"/>
          <w:bCs/>
          <w:i/>
          <w:sz w:val="18"/>
          <w:szCs w:val="14"/>
          <w:lang w:bidi="ar-SA"/>
        </w:rPr>
        <w:t>q</w:t>
      </w:r>
      <w:r w:rsidRPr="00B238A8">
        <w:rPr>
          <w:rFonts w:ascii="Times New Roman" w:eastAsia="MS Mincho" w:hAnsi="Times New Roman"/>
          <w:bCs/>
          <w:sz w:val="18"/>
          <w:szCs w:val="14"/>
          <w:vertAlign w:val="subscript"/>
          <w:lang w:bidi="ar-SA"/>
        </w:rPr>
        <w:t>max</w:t>
      </w:r>
      <w:r w:rsidRPr="00B238A8">
        <w:rPr>
          <w:rFonts w:ascii="Times New Roman" w:eastAsia="MS Mincho" w:hAnsi="Times New Roman"/>
          <w:bCs/>
          <w:sz w:val="18"/>
          <w:szCs w:val="14"/>
          <w:lang w:bidi="ar-SA"/>
        </w:rPr>
        <w:t>) of 416.67 mg/g. The results suggest that th</w:t>
      </w:r>
      <w:r w:rsidRPr="00B238A8">
        <w:rPr>
          <w:rFonts w:ascii="Times New Roman" w:eastAsia="MS Mincho" w:hAnsi="Times New Roman"/>
          <w:bCs/>
          <w:sz w:val="18"/>
          <w:szCs w:val="14"/>
          <w:lang w:val="en-MY" w:bidi="ar-SA"/>
        </w:rPr>
        <w:t>is type of</w:t>
      </w:r>
      <w:r w:rsidRPr="00B238A8">
        <w:rPr>
          <w:rFonts w:ascii="Times New Roman" w:eastAsia="MS Mincho" w:hAnsi="Times New Roman"/>
          <w:bCs/>
          <w:sz w:val="18"/>
          <w:szCs w:val="14"/>
          <w:lang w:bidi="ar-SA"/>
        </w:rPr>
        <w:t xml:space="preserve"> seaweed</w:t>
      </w:r>
      <w:r w:rsidRPr="00B238A8">
        <w:rPr>
          <w:rFonts w:ascii="Times New Roman" w:eastAsia="MS Mincho" w:hAnsi="Times New Roman"/>
          <w:bCs/>
          <w:sz w:val="18"/>
          <w:szCs w:val="14"/>
          <w:lang w:val="en-MY" w:bidi="ar-SA"/>
        </w:rPr>
        <w:t>,</w:t>
      </w:r>
      <w:r w:rsidRPr="00B238A8">
        <w:rPr>
          <w:rFonts w:ascii="Times New Roman" w:eastAsia="MS Mincho" w:hAnsi="Times New Roman"/>
          <w:bCs/>
          <w:sz w:val="18"/>
          <w:szCs w:val="14"/>
          <w:lang w:bidi="ar-SA"/>
        </w:rPr>
        <w:t xml:space="preserve"> </w:t>
      </w:r>
      <w:r w:rsidRPr="00B238A8">
        <w:rPr>
          <w:rFonts w:ascii="Times New Roman" w:eastAsia="MS Mincho" w:hAnsi="Times New Roman"/>
          <w:bCs/>
          <w:i/>
          <w:sz w:val="18"/>
          <w:szCs w:val="14"/>
          <w:lang w:bidi="ar-SA"/>
        </w:rPr>
        <w:t>E. denticulatum</w:t>
      </w:r>
      <w:r w:rsidRPr="00B238A8">
        <w:rPr>
          <w:rFonts w:ascii="Times New Roman" w:eastAsia="MS Mincho" w:hAnsi="Times New Roman"/>
          <w:bCs/>
          <w:sz w:val="18"/>
          <w:szCs w:val="14"/>
          <w:lang w:val="en-MY" w:bidi="ar-SA"/>
        </w:rPr>
        <w:t xml:space="preserve">, </w:t>
      </w:r>
      <w:r w:rsidRPr="00B238A8">
        <w:rPr>
          <w:rFonts w:ascii="Times New Roman" w:eastAsia="MS Mincho" w:hAnsi="Times New Roman"/>
          <w:bCs/>
          <w:sz w:val="18"/>
          <w:szCs w:val="14"/>
          <w:lang w:bidi="ar-SA"/>
        </w:rPr>
        <w:t>is an effective biosorbent for removing Pb (II) and may control toxic metal pollution in tropical aquatic ecosystems.</w:t>
      </w:r>
    </w:p>
    <w:p w14:paraId="0B2A4E97" w14:textId="77777777" w:rsidR="00B238A8" w:rsidRPr="00B238A8" w:rsidRDefault="00B238A8" w:rsidP="00A80CA5">
      <w:pPr>
        <w:keepNext/>
        <w:spacing w:after="0"/>
        <w:jc w:val="both"/>
        <w:outlineLvl w:val="3"/>
        <w:rPr>
          <w:rFonts w:ascii="Times New Roman" w:eastAsia="MS Mincho" w:hAnsi="Times New Roman"/>
          <w:bCs/>
          <w:sz w:val="18"/>
          <w:szCs w:val="14"/>
          <w:lang w:bidi="ar-SA"/>
        </w:rPr>
      </w:pPr>
    </w:p>
    <w:p w14:paraId="6938A0B8" w14:textId="29368CF3" w:rsidR="006768E9" w:rsidRPr="00F447A7" w:rsidRDefault="006768E9" w:rsidP="00A80CA5">
      <w:pPr>
        <w:spacing w:after="0"/>
        <w:jc w:val="both"/>
        <w:rPr>
          <w:rFonts w:ascii="Times New Roman" w:hAnsi="Times New Roman"/>
          <w:noProof/>
          <w:sz w:val="18"/>
          <w:szCs w:val="18"/>
          <w:lang w:bidi="ar-SA"/>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B238A8">
        <w:rPr>
          <w:rFonts w:ascii="Times New Roman" w:hAnsi="Times New Roman"/>
          <w:noProof/>
          <w:sz w:val="18"/>
          <w:szCs w:val="18"/>
          <w:lang w:bidi="ar-SA"/>
        </w:rPr>
        <w:t xml:space="preserve"> </w:t>
      </w:r>
      <w:r w:rsidR="00A80CA5">
        <w:rPr>
          <w:rFonts w:ascii="Times New Roman" w:hAnsi="Times New Roman"/>
          <w:noProof/>
          <w:sz w:val="18"/>
          <w:szCs w:val="18"/>
          <w:lang w:bidi="ar-SA"/>
        </w:rPr>
        <w:t xml:space="preserve"> </w:t>
      </w:r>
      <w:r w:rsidR="00B238A8" w:rsidRPr="00B238A8">
        <w:rPr>
          <w:rFonts w:ascii="Times New Roman" w:hAnsi="Times New Roman"/>
          <w:noProof/>
          <w:sz w:val="18"/>
          <w:szCs w:val="18"/>
          <w:lang w:bidi="ar-SA"/>
        </w:rPr>
        <w:t xml:space="preserve">biosorption, </w:t>
      </w:r>
      <w:r w:rsidR="00B238A8">
        <w:rPr>
          <w:rFonts w:ascii="Times New Roman" w:hAnsi="Times New Roman"/>
          <w:i/>
          <w:iCs/>
          <w:noProof/>
          <w:sz w:val="18"/>
          <w:szCs w:val="18"/>
          <w:lang w:bidi="ar-SA"/>
        </w:rPr>
        <w:t>E</w:t>
      </w:r>
      <w:r w:rsidR="00B238A8" w:rsidRPr="00B238A8">
        <w:rPr>
          <w:rFonts w:ascii="Times New Roman" w:hAnsi="Times New Roman"/>
          <w:i/>
          <w:iCs/>
          <w:noProof/>
          <w:sz w:val="18"/>
          <w:szCs w:val="18"/>
          <w:lang w:bidi="ar-SA"/>
        </w:rPr>
        <w:t>ucheuma denticulatum</w:t>
      </w:r>
      <w:r w:rsidR="00B238A8" w:rsidRPr="00B238A8">
        <w:rPr>
          <w:rFonts w:ascii="Times New Roman" w:hAnsi="Times New Roman"/>
          <w:noProof/>
          <w:sz w:val="18"/>
          <w:szCs w:val="18"/>
          <w:lang w:bidi="ar-SA"/>
        </w:rPr>
        <w:t>, heavy metals, Langmuir and Freundlich models</w:t>
      </w:r>
      <w:r w:rsidR="00F447A7">
        <w:rPr>
          <w:rFonts w:ascii="Times New Roman" w:hAnsi="Times New Roman"/>
          <w:noProof/>
          <w:sz w:val="18"/>
          <w:szCs w:val="18"/>
          <w:lang w:bidi="ar-SA"/>
        </w:rPr>
        <w:t xml:space="preserve"> </w:t>
      </w:r>
    </w:p>
    <w:p w14:paraId="3C7A96CC" w14:textId="77777777" w:rsidR="00DD377F" w:rsidRDefault="00DD377F" w:rsidP="00A80CA5">
      <w:pPr>
        <w:spacing w:after="0"/>
        <w:jc w:val="center"/>
        <w:rPr>
          <w:rFonts w:ascii="Times New Roman" w:hAnsi="Times New Roman"/>
          <w:b/>
          <w:noProof/>
          <w:sz w:val="18"/>
          <w:szCs w:val="18"/>
          <w:lang w:bidi="ar-SA"/>
        </w:rPr>
      </w:pPr>
    </w:p>
    <w:p w14:paraId="45F7F5C9" w14:textId="672E4EC1" w:rsidR="006768E9" w:rsidRPr="00F447A7" w:rsidRDefault="006768E9" w:rsidP="00A80CA5">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01CECC39" w14:textId="77777777" w:rsidR="00B238A8" w:rsidRPr="00B238A8" w:rsidRDefault="00B238A8" w:rsidP="00A80CA5">
      <w:pPr>
        <w:spacing w:after="0"/>
        <w:jc w:val="both"/>
        <w:rPr>
          <w:rFonts w:ascii="Times New Roman" w:eastAsia="MS Mincho" w:hAnsi="Times New Roman"/>
          <w:sz w:val="18"/>
          <w:szCs w:val="18"/>
          <w:lang w:bidi="ar-SA"/>
        </w:rPr>
      </w:pPr>
      <w:r w:rsidRPr="00B238A8">
        <w:rPr>
          <w:rFonts w:ascii="Times New Roman" w:eastAsia="MS Mincho" w:hAnsi="Times New Roman"/>
          <w:sz w:val="18"/>
          <w:szCs w:val="18"/>
          <w:lang w:bidi="ar-SA"/>
        </w:rPr>
        <w:t xml:space="preserve">Industri rumpai laut memainkan peranan sosio-ekonomi yang sangat penting bagi masyarakat pesisir pantai tropika. Kajian ini menunjukkan tingkah laku biojerapan larutan akues Pb(II) ke atas </w:t>
      </w:r>
      <w:r w:rsidRPr="00B238A8">
        <w:rPr>
          <w:rFonts w:ascii="Times New Roman" w:eastAsia="MS Mincho" w:hAnsi="Times New Roman"/>
          <w:i/>
          <w:sz w:val="18"/>
          <w:szCs w:val="18"/>
          <w:lang w:bidi="ar-SA"/>
        </w:rPr>
        <w:t>Eucheuma denticulatum</w:t>
      </w:r>
      <w:r w:rsidRPr="00B238A8">
        <w:rPr>
          <w:rFonts w:ascii="Times New Roman" w:eastAsia="MS Mincho" w:hAnsi="Times New Roman"/>
          <w:sz w:val="18"/>
          <w:szCs w:val="18"/>
          <w:lang w:bidi="ar-SA"/>
        </w:rPr>
        <w:t xml:space="preserve">. Pengaruh hubungan masa pH, kepekatan awal logam, dan kajian penjerapan-penyerapan telah dilakukan. Hasil kajian menunjukkan bahawa kadar pengambilan Pb(II) meningkat dengan peningkatan kepekatan dan masa hubungan. Pengambilan Pb(II) mencapai titik tepu pada 1000 mg/L setelah 120 minit pada suhu bilik. Biojerapan Pb(II) ke atas </w:t>
      </w:r>
      <w:r w:rsidRPr="00B238A8">
        <w:rPr>
          <w:rFonts w:ascii="Times New Roman" w:eastAsia="MS Mincho" w:hAnsi="Times New Roman"/>
          <w:i/>
          <w:sz w:val="18"/>
          <w:szCs w:val="18"/>
          <w:lang w:bidi="ar-SA"/>
        </w:rPr>
        <w:t>E. denticulatum</w:t>
      </w:r>
      <w:r w:rsidRPr="00B238A8">
        <w:rPr>
          <w:rFonts w:ascii="Times New Roman" w:eastAsia="MS Mincho" w:hAnsi="Times New Roman"/>
          <w:sz w:val="18"/>
          <w:szCs w:val="18"/>
          <w:lang w:bidi="ar-SA"/>
        </w:rPr>
        <w:t xml:space="preserve"> dipasang dengan baik pada isoterm Langmuir dengan kapasiti penjerapan maksimum (</w:t>
      </w:r>
      <w:r w:rsidRPr="00B238A8">
        <w:rPr>
          <w:rFonts w:ascii="Times New Roman" w:eastAsia="MS Mincho" w:hAnsi="Times New Roman"/>
          <w:i/>
          <w:iCs/>
          <w:sz w:val="18"/>
          <w:szCs w:val="18"/>
          <w:lang w:bidi="ar-SA"/>
        </w:rPr>
        <w:t>q</w:t>
      </w:r>
      <w:r w:rsidRPr="00B238A8">
        <w:rPr>
          <w:rFonts w:ascii="Times New Roman" w:eastAsia="MS Mincho" w:hAnsi="Times New Roman"/>
          <w:sz w:val="18"/>
          <w:szCs w:val="18"/>
          <w:vertAlign w:val="subscript"/>
          <w:lang w:bidi="ar-SA"/>
        </w:rPr>
        <w:t>max</w:t>
      </w:r>
      <w:r w:rsidRPr="00B238A8">
        <w:rPr>
          <w:rFonts w:ascii="Times New Roman" w:eastAsia="MS Mincho" w:hAnsi="Times New Roman"/>
          <w:sz w:val="18"/>
          <w:szCs w:val="18"/>
          <w:lang w:bidi="ar-SA"/>
        </w:rPr>
        <w:t xml:space="preserve">) 416.67 mg/g. Hasilnya menunjukkan bahawa rumpai laut </w:t>
      </w:r>
      <w:r w:rsidRPr="00B238A8">
        <w:rPr>
          <w:rFonts w:ascii="Times New Roman" w:eastAsia="MS Mincho" w:hAnsi="Times New Roman"/>
          <w:i/>
          <w:sz w:val="18"/>
          <w:szCs w:val="18"/>
          <w:lang w:bidi="ar-SA"/>
        </w:rPr>
        <w:t>E. denticulatum</w:t>
      </w:r>
      <w:r w:rsidRPr="00B238A8">
        <w:rPr>
          <w:rFonts w:ascii="Times New Roman" w:eastAsia="MS Mincho" w:hAnsi="Times New Roman"/>
          <w:sz w:val="18"/>
          <w:szCs w:val="18"/>
          <w:lang w:bidi="ar-SA"/>
        </w:rPr>
        <w:t xml:space="preserve"> adalah biopenjerap yang berkesan untuk menghilangkan Pb(II) dan mungkin boleh digunakan untuk mengawal pencemaran logam toksik di ekosistem perairan tropika.</w:t>
      </w:r>
    </w:p>
    <w:p w14:paraId="27F5FE65" w14:textId="77777777" w:rsidR="006768E9" w:rsidRPr="00F447A7" w:rsidRDefault="006768E9" w:rsidP="00A80CA5">
      <w:pPr>
        <w:spacing w:after="0"/>
        <w:jc w:val="both"/>
        <w:rPr>
          <w:rFonts w:ascii="Times New Roman" w:hAnsi="Times New Roman"/>
          <w:noProof/>
          <w:sz w:val="18"/>
          <w:szCs w:val="18"/>
          <w:lang w:bidi="ar-SA"/>
        </w:rPr>
      </w:pPr>
    </w:p>
    <w:p w14:paraId="7411C31F" w14:textId="2CCA08AA" w:rsidR="00B238A8" w:rsidRDefault="006768E9" w:rsidP="00A80CA5">
      <w:pPr>
        <w:spacing w:after="0"/>
        <w:jc w:val="both"/>
        <w:rPr>
          <w:rFonts w:ascii="Times New Roman" w:hAnsi="Times New Roman"/>
          <w:noProof/>
          <w:sz w:val="18"/>
          <w:szCs w:val="18"/>
          <w:lang w:bidi="ar-SA"/>
        </w:r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B238A8">
        <w:rPr>
          <w:rFonts w:ascii="Times New Roman" w:hAnsi="Times New Roman"/>
          <w:noProof/>
          <w:sz w:val="18"/>
          <w:szCs w:val="18"/>
          <w:lang w:bidi="ar-SA"/>
        </w:rPr>
        <w:t xml:space="preserve"> </w:t>
      </w:r>
      <w:r w:rsidR="00A80CA5">
        <w:rPr>
          <w:rFonts w:ascii="Times New Roman" w:hAnsi="Times New Roman"/>
          <w:noProof/>
          <w:sz w:val="18"/>
          <w:szCs w:val="18"/>
          <w:lang w:bidi="ar-SA"/>
        </w:rPr>
        <w:t xml:space="preserve"> </w:t>
      </w:r>
      <w:r w:rsidR="00B238A8" w:rsidRPr="00B238A8">
        <w:rPr>
          <w:rFonts w:ascii="Times New Roman" w:hAnsi="Times New Roman"/>
          <w:noProof/>
          <w:sz w:val="18"/>
          <w:szCs w:val="18"/>
          <w:lang w:bidi="ar-SA"/>
        </w:rPr>
        <w:t xml:space="preserve">biojerapan, </w:t>
      </w:r>
      <w:r w:rsidR="00B238A8" w:rsidRPr="00B238A8">
        <w:rPr>
          <w:rFonts w:ascii="Times New Roman" w:hAnsi="Times New Roman"/>
          <w:i/>
          <w:iCs/>
          <w:noProof/>
          <w:sz w:val="18"/>
          <w:szCs w:val="18"/>
          <w:lang w:bidi="ar-SA"/>
        </w:rPr>
        <w:t>Eucheuma denticulatum</w:t>
      </w:r>
      <w:r w:rsidR="00B238A8" w:rsidRPr="00B238A8">
        <w:rPr>
          <w:rFonts w:ascii="Times New Roman" w:hAnsi="Times New Roman"/>
          <w:noProof/>
          <w:sz w:val="18"/>
          <w:szCs w:val="18"/>
          <w:lang w:bidi="ar-SA"/>
        </w:rPr>
        <w:t>, logam berat, model Langmuir dan Freundlich</w:t>
      </w:r>
      <w:bookmarkEnd w:id="1"/>
    </w:p>
    <w:p w14:paraId="728872A6" w14:textId="311B2EE4" w:rsidR="00292F86" w:rsidRDefault="00292F86" w:rsidP="00A80CA5">
      <w:pPr>
        <w:spacing w:after="0"/>
        <w:jc w:val="center"/>
        <w:rPr>
          <w:rFonts w:ascii="Times New Roman" w:hAnsi="Times New Roman"/>
          <w:b/>
          <w:noProof/>
          <w:sz w:val="20"/>
          <w:szCs w:val="20"/>
          <w:lang w:bidi="ar-SA"/>
        </w:rPr>
      </w:pPr>
    </w:p>
    <w:p w14:paraId="7AE2A8C2" w14:textId="77777777" w:rsidR="00F87302" w:rsidRDefault="00F87302" w:rsidP="00A80CA5">
      <w:pPr>
        <w:spacing w:after="0"/>
        <w:jc w:val="center"/>
        <w:rPr>
          <w:rFonts w:ascii="Times New Roman" w:hAnsi="Times New Roman"/>
          <w:b/>
          <w:noProof/>
          <w:sz w:val="20"/>
          <w:szCs w:val="20"/>
          <w:lang w:bidi="ar-SA"/>
        </w:rPr>
      </w:pPr>
    </w:p>
    <w:p w14:paraId="647102B3" w14:textId="77777777" w:rsidR="00F87302" w:rsidRDefault="00F87302" w:rsidP="00F87302">
      <w:pPr>
        <w:spacing w:after="0"/>
        <w:jc w:val="center"/>
        <w:rPr>
          <w:rFonts w:ascii="Times New Roman" w:hAnsi="Times New Roman"/>
          <w:b/>
          <w:noProof/>
          <w:sz w:val="20"/>
          <w:szCs w:val="20"/>
          <w:lang w:bidi="ar-SA"/>
        </w:rPr>
        <w:sectPr w:rsidR="00F87302" w:rsidSect="00292F86">
          <w:headerReference w:type="even" r:id="rId9"/>
          <w:headerReference w:type="default" r:id="rId10"/>
          <w:footerReference w:type="even" r:id="rId11"/>
          <w:footerReference w:type="default" r:id="rId12"/>
          <w:type w:val="continuous"/>
          <w:pgSz w:w="12240" w:h="15840" w:code="1"/>
          <w:pgMar w:top="1800" w:right="1469" w:bottom="1699" w:left="1440" w:header="706" w:footer="706" w:gutter="0"/>
          <w:pgNumType w:start="1"/>
          <w:cols w:space="403"/>
          <w:docGrid w:linePitch="360"/>
        </w:sectPr>
      </w:pPr>
    </w:p>
    <w:p w14:paraId="070E6AA8" w14:textId="77777777" w:rsidR="00F87302" w:rsidRPr="00B238A8" w:rsidRDefault="00F87302" w:rsidP="00F87302">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F1E7131" w14:textId="596632E0" w:rsidR="00F87302" w:rsidRDefault="00F87302" w:rsidP="00F87302">
      <w:pPr>
        <w:spacing w:after="0"/>
        <w:jc w:val="both"/>
        <w:rPr>
          <w:rFonts w:ascii="Times New Roman" w:eastAsia="MS Mincho" w:hAnsi="Times New Roman" w:cs="Arial"/>
          <w:sz w:val="20"/>
          <w:szCs w:val="20"/>
          <w:lang w:bidi="ar-SA"/>
        </w:rPr>
      </w:pPr>
      <w:r w:rsidRPr="00B238A8">
        <w:rPr>
          <w:rFonts w:ascii="Times New Roman" w:eastAsia="MS Mincho" w:hAnsi="Times New Roman" w:cs="Arial"/>
          <w:sz w:val="20"/>
          <w:szCs w:val="20"/>
          <w:lang w:bidi="ar-SA"/>
        </w:rPr>
        <w:t xml:space="preserve">Heavy metal pollution </w:t>
      </w:r>
      <w:r w:rsidRPr="00B238A8">
        <w:rPr>
          <w:rFonts w:ascii="Times New Roman" w:eastAsia="MS Mincho" w:hAnsi="Times New Roman" w:cs="Arial"/>
          <w:sz w:val="20"/>
          <w:szCs w:val="20"/>
          <w:lang w:val="en-MY" w:bidi="ar-SA"/>
        </w:rPr>
        <w:t>is a</w:t>
      </w:r>
      <w:r w:rsidRPr="00B238A8">
        <w:rPr>
          <w:rFonts w:ascii="Times New Roman" w:eastAsia="MS Mincho" w:hAnsi="Times New Roman" w:cs="Arial"/>
          <w:sz w:val="20"/>
          <w:szCs w:val="20"/>
          <w:lang w:bidi="ar-SA"/>
        </w:rPr>
        <w:t xml:space="preserve"> serious concern due to its profound impact</w:t>
      </w:r>
      <w:r w:rsidRPr="00B238A8">
        <w:rPr>
          <w:rFonts w:ascii="Times New Roman" w:eastAsia="MS Mincho" w:hAnsi="Times New Roman" w:cs="Arial"/>
          <w:sz w:val="20"/>
          <w:szCs w:val="20"/>
          <w:lang w:val="en-MY" w:bidi="ar-SA"/>
        </w:rPr>
        <w:t>,</w:t>
      </w:r>
      <w:r w:rsidRPr="00B238A8">
        <w:rPr>
          <w:rFonts w:ascii="Times New Roman" w:eastAsia="MS Mincho" w:hAnsi="Times New Roman" w:cs="Arial"/>
          <w:sz w:val="20"/>
          <w:szCs w:val="20"/>
          <w:lang w:bidi="ar-SA"/>
        </w:rPr>
        <w:t xml:space="preserve"> even at small concentrations</w:t>
      </w:r>
      <w:r w:rsidRPr="00B238A8">
        <w:rPr>
          <w:rFonts w:ascii="Times New Roman" w:eastAsia="MS Mincho" w:hAnsi="Times New Roman" w:cs="Arial"/>
          <w:sz w:val="20"/>
          <w:szCs w:val="20"/>
          <w:lang w:val="en-MY" w:bidi="ar-SA"/>
        </w:rPr>
        <w:t>.</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val="en-MY" w:bidi="ar-SA"/>
        </w:rPr>
        <w:t>It is caused</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val="en-MY" w:bidi="ar-SA"/>
        </w:rPr>
        <w:t xml:space="preserve">by </w:t>
      </w:r>
      <w:r w:rsidRPr="00B238A8">
        <w:rPr>
          <w:rFonts w:ascii="Times New Roman" w:eastAsia="MS Mincho" w:hAnsi="Times New Roman" w:cs="Arial"/>
          <w:sz w:val="20"/>
          <w:szCs w:val="20"/>
          <w:lang w:bidi="ar-SA"/>
        </w:rPr>
        <w:t>enhanced industrial</w:t>
      </w:r>
      <w:r w:rsidRPr="00B238A8">
        <w:rPr>
          <w:rFonts w:ascii="Times New Roman" w:eastAsia="MS Mincho" w:hAnsi="Times New Roman" w:cs="Arial"/>
          <w:sz w:val="20"/>
          <w:szCs w:val="20"/>
          <w:lang w:val="en-MY" w:bidi="ar-SA"/>
        </w:rPr>
        <w:t>is</w:t>
      </w:r>
      <w:r w:rsidRPr="00B238A8">
        <w:rPr>
          <w:rFonts w:ascii="Times New Roman" w:eastAsia="MS Mincho" w:hAnsi="Times New Roman" w:cs="Arial"/>
          <w:sz w:val="20"/>
          <w:szCs w:val="20"/>
          <w:lang w:bidi="ar-SA"/>
        </w:rPr>
        <w:t xml:space="preserve">ation and human activities that release </w:t>
      </w:r>
      <w:r w:rsidRPr="00B238A8">
        <w:rPr>
          <w:rFonts w:ascii="Times New Roman" w:eastAsia="MS Mincho" w:hAnsi="Times New Roman" w:cs="Arial"/>
          <w:sz w:val="20"/>
          <w:szCs w:val="20"/>
          <w:lang w:val="en-MY" w:bidi="ar-SA"/>
        </w:rPr>
        <w:t xml:space="preserve">various </w:t>
      </w:r>
      <w:r w:rsidRPr="00B238A8">
        <w:rPr>
          <w:rFonts w:ascii="Times New Roman" w:eastAsia="MS Mincho" w:hAnsi="Times New Roman" w:cs="Arial"/>
          <w:sz w:val="20"/>
          <w:szCs w:val="20"/>
          <w:lang w:bidi="ar-SA"/>
        </w:rPr>
        <w:t xml:space="preserve">contaminants </w:t>
      </w:r>
      <w:r w:rsidRPr="00B238A8">
        <w:rPr>
          <w:rFonts w:ascii="Times New Roman" w:eastAsia="MS Mincho" w:hAnsi="Times New Roman" w:cs="Arial"/>
          <w:sz w:val="20"/>
          <w:szCs w:val="20"/>
          <w:lang w:val="en-MY" w:bidi="ar-SA"/>
        </w:rPr>
        <w:t>in</w:t>
      </w:r>
      <w:r w:rsidRPr="00B238A8">
        <w:rPr>
          <w:rFonts w:ascii="Times New Roman" w:eastAsia="MS Mincho" w:hAnsi="Times New Roman" w:cs="Arial"/>
          <w:sz w:val="20"/>
          <w:szCs w:val="20"/>
          <w:lang w:bidi="ar-SA"/>
        </w:rPr>
        <w:t xml:space="preserve">to the environment [1, 2, 3]. </w:t>
      </w:r>
      <w:r w:rsidRPr="00B238A8">
        <w:rPr>
          <w:rFonts w:ascii="Times New Roman" w:eastAsia="MS Mincho" w:hAnsi="Times New Roman" w:cs="Arial"/>
          <w:sz w:val="20"/>
          <w:szCs w:val="20"/>
          <w:lang w:val="en-MY" w:bidi="ar-SA"/>
        </w:rPr>
        <w:t>Heavy metals</w:t>
      </w:r>
      <w:r w:rsidRPr="00B238A8">
        <w:rPr>
          <w:rFonts w:ascii="Times New Roman" w:eastAsia="MS Mincho" w:hAnsi="Times New Roman" w:cs="Arial"/>
          <w:sz w:val="20"/>
          <w:szCs w:val="20"/>
          <w:lang w:bidi="ar-SA"/>
        </w:rPr>
        <w:t xml:space="preserve"> are considered among the most toxic groups reaching the food chain via waste disposal in water bodies and </w:t>
      </w:r>
      <w:r w:rsidRPr="00B238A8">
        <w:rPr>
          <w:rFonts w:ascii="Times New Roman" w:eastAsia="MS Mincho" w:hAnsi="Times New Roman" w:cs="Arial"/>
          <w:sz w:val="20"/>
          <w:szCs w:val="20"/>
          <w:lang w:val="en-MY" w:bidi="ar-SA"/>
        </w:rPr>
        <w:t xml:space="preserve">on </w:t>
      </w:r>
      <w:r w:rsidRPr="00B238A8">
        <w:rPr>
          <w:rFonts w:ascii="Times New Roman" w:eastAsia="MS Mincho" w:hAnsi="Times New Roman" w:cs="Arial"/>
          <w:sz w:val="20"/>
          <w:szCs w:val="20"/>
          <w:lang w:bidi="ar-SA"/>
        </w:rPr>
        <w:t xml:space="preserve">land [4]. Therefore, eliminating heavy metal ions in wastewater is crucial for public health protection. </w:t>
      </w:r>
      <w:r w:rsidRPr="00B238A8">
        <w:rPr>
          <w:rFonts w:ascii="Times New Roman" w:eastAsia="MS Mincho" w:hAnsi="Times New Roman" w:cs="Arial"/>
          <w:sz w:val="20"/>
          <w:szCs w:val="20"/>
          <w:lang w:val="en-MY" w:bidi="ar-SA"/>
        </w:rPr>
        <w:t>The c</w:t>
      </w:r>
      <w:r w:rsidRPr="00B238A8">
        <w:rPr>
          <w:rFonts w:ascii="Times New Roman" w:eastAsia="MS Mincho" w:hAnsi="Times New Roman" w:cs="Arial"/>
          <w:sz w:val="20"/>
          <w:szCs w:val="20"/>
          <w:lang w:bidi="ar-SA"/>
        </w:rPr>
        <w:t xml:space="preserve">onventional methods for treating toxic metals are expensive and difficult to </w:t>
      </w:r>
      <w:r w:rsidRPr="00B238A8">
        <w:rPr>
          <w:rFonts w:ascii="Times New Roman" w:eastAsia="MS Mincho" w:hAnsi="Times New Roman" w:cs="Arial"/>
          <w:sz w:val="20"/>
          <w:szCs w:val="20"/>
          <w:lang w:val="en-MY" w:bidi="ar-SA"/>
        </w:rPr>
        <w:t>manage</w:t>
      </w:r>
      <w:r w:rsidRPr="00B238A8">
        <w:rPr>
          <w:rFonts w:ascii="Times New Roman" w:eastAsia="MS Mincho" w:hAnsi="Times New Roman" w:cs="Arial"/>
          <w:sz w:val="20"/>
          <w:szCs w:val="20"/>
          <w:lang w:bidi="ar-SA"/>
        </w:rPr>
        <w:t xml:space="preserve">. Some methods lead to ineffective metals removal, restricted tolerance to pH change, slight metal selectivity, and </w:t>
      </w:r>
      <w:r w:rsidRPr="00B238A8">
        <w:rPr>
          <w:rFonts w:ascii="Times New Roman" w:eastAsia="MS Mincho" w:hAnsi="Times New Roman" w:cs="Arial"/>
          <w:sz w:val="20"/>
          <w:szCs w:val="20"/>
          <w:lang w:val="en-MY" w:bidi="ar-SA"/>
        </w:rPr>
        <w:t xml:space="preserve">the </w:t>
      </w:r>
      <w:r w:rsidRPr="00B238A8">
        <w:rPr>
          <w:rFonts w:ascii="Times New Roman" w:eastAsia="MS Mincho" w:hAnsi="Times New Roman" w:cs="Arial"/>
          <w:sz w:val="20"/>
          <w:szCs w:val="20"/>
          <w:lang w:bidi="ar-SA"/>
        </w:rPr>
        <w:t>generati</w:t>
      </w:r>
      <w:r w:rsidRPr="00B238A8">
        <w:rPr>
          <w:rFonts w:ascii="Times New Roman" w:eastAsia="MS Mincho" w:hAnsi="Times New Roman" w:cs="Arial"/>
          <w:sz w:val="20"/>
          <w:szCs w:val="20"/>
          <w:lang w:val="en-MY" w:bidi="ar-SA"/>
        </w:rPr>
        <w:t>on of</w:t>
      </w:r>
      <w:r w:rsidRPr="00B238A8">
        <w:rPr>
          <w:rFonts w:ascii="Times New Roman" w:eastAsia="MS Mincho" w:hAnsi="Times New Roman" w:cs="Arial"/>
          <w:sz w:val="20"/>
          <w:szCs w:val="20"/>
          <w:lang w:bidi="ar-SA"/>
        </w:rPr>
        <w:t xml:space="preserve"> toxic by-product waste that must be appropriately disposed</w:t>
      </w:r>
      <w:r w:rsidRPr="00B238A8">
        <w:rPr>
          <w:rFonts w:ascii="Times New Roman" w:eastAsia="MS Mincho" w:hAnsi="Times New Roman" w:cs="Arial"/>
          <w:sz w:val="20"/>
          <w:szCs w:val="20"/>
          <w:lang w:val="en-MY" w:bidi="ar-SA"/>
        </w:rPr>
        <w:t xml:space="preserve"> of</w:t>
      </w:r>
      <w:r w:rsidRPr="00B238A8">
        <w:rPr>
          <w:rFonts w:ascii="Times New Roman" w:eastAsia="MS Mincho" w:hAnsi="Times New Roman" w:cs="Arial"/>
          <w:sz w:val="20"/>
          <w:szCs w:val="20"/>
          <w:lang w:bidi="ar-SA"/>
        </w:rPr>
        <w:t xml:space="preserve"> [5]. Attention </w:t>
      </w:r>
      <w:r w:rsidRPr="00B238A8">
        <w:rPr>
          <w:rFonts w:ascii="Times New Roman" w:eastAsia="MS Mincho" w:hAnsi="Times New Roman" w:cs="Arial"/>
          <w:sz w:val="20"/>
          <w:szCs w:val="20"/>
          <w:lang w:val="en-MY" w:bidi="ar-SA"/>
        </w:rPr>
        <w:t>has focused on</w:t>
      </w:r>
      <w:r w:rsidRPr="00B238A8">
        <w:rPr>
          <w:rFonts w:ascii="Times New Roman" w:eastAsia="MS Mincho" w:hAnsi="Times New Roman" w:cs="Arial"/>
          <w:sz w:val="20"/>
          <w:szCs w:val="20"/>
          <w:lang w:bidi="ar-SA"/>
        </w:rPr>
        <w:t xml:space="preserve"> heavy metals biosorption using various biological materials </w:t>
      </w:r>
      <w:r w:rsidRPr="00B238A8">
        <w:rPr>
          <w:rFonts w:ascii="Times New Roman" w:eastAsia="MS Mincho" w:hAnsi="Times New Roman" w:cs="Arial"/>
          <w:sz w:val="20"/>
          <w:szCs w:val="20"/>
          <w:lang w:val="en-MY" w:bidi="ar-SA"/>
        </w:rPr>
        <w:t>as this enables a</w:t>
      </w:r>
      <w:r w:rsidRPr="00B238A8">
        <w:rPr>
          <w:rFonts w:ascii="Times New Roman" w:eastAsia="MS Mincho" w:hAnsi="Times New Roman" w:cs="Arial"/>
          <w:sz w:val="20"/>
          <w:szCs w:val="20"/>
          <w:lang w:bidi="ar-SA"/>
        </w:rPr>
        <w:t xml:space="preserve"> higher metal </w:t>
      </w:r>
      <w:r>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bidi="ar-SA"/>
        </w:rPr>
        <w:t>binding capacity than chemical-based methods [6, 7].</w:t>
      </w:r>
    </w:p>
    <w:p w14:paraId="5DE94D8D" w14:textId="77777777" w:rsidR="00F87302" w:rsidRPr="00B238A8" w:rsidRDefault="00F87302" w:rsidP="00F87302">
      <w:pPr>
        <w:spacing w:after="0"/>
        <w:jc w:val="both"/>
        <w:rPr>
          <w:rFonts w:ascii="Times New Roman" w:eastAsia="MS Mincho" w:hAnsi="Times New Roman" w:cs="Arial"/>
          <w:sz w:val="20"/>
          <w:szCs w:val="20"/>
          <w:lang w:bidi="ar-SA"/>
        </w:rPr>
      </w:pPr>
    </w:p>
    <w:p w14:paraId="5A50F183" w14:textId="77777777" w:rsidR="00F87302" w:rsidRDefault="00F87302" w:rsidP="00F87302">
      <w:pPr>
        <w:spacing w:after="0"/>
        <w:jc w:val="both"/>
        <w:rPr>
          <w:rFonts w:ascii="Times New Roman" w:eastAsia="MS Mincho" w:hAnsi="Times New Roman" w:cs="Arial"/>
          <w:sz w:val="20"/>
          <w:szCs w:val="20"/>
          <w:lang w:bidi="ar-SA"/>
        </w:rPr>
      </w:pPr>
      <w:r w:rsidRPr="00B238A8">
        <w:rPr>
          <w:rFonts w:ascii="Times New Roman" w:eastAsia="MS Mincho" w:hAnsi="Times New Roman" w:cs="Arial"/>
          <w:sz w:val="20"/>
          <w:szCs w:val="20"/>
          <w:lang w:bidi="ar-SA"/>
        </w:rPr>
        <w:t xml:space="preserve">Biosorption is </w:t>
      </w:r>
      <w:r w:rsidRPr="00B238A8">
        <w:rPr>
          <w:rFonts w:ascii="Times New Roman" w:eastAsia="MS Mincho" w:hAnsi="Times New Roman" w:cs="Arial"/>
          <w:sz w:val="20"/>
          <w:szCs w:val="20"/>
          <w:lang w:val="en-MY" w:bidi="ar-SA"/>
        </w:rPr>
        <w:t xml:space="preserve">a </w:t>
      </w:r>
      <w:r w:rsidRPr="00B238A8">
        <w:rPr>
          <w:rFonts w:ascii="Times New Roman" w:eastAsia="MS Mincho" w:hAnsi="Times New Roman" w:cs="Arial"/>
          <w:sz w:val="20"/>
          <w:szCs w:val="20"/>
          <w:lang w:bidi="ar-SA"/>
        </w:rPr>
        <w:t xml:space="preserve">subtraction technique </w:t>
      </w:r>
      <w:r w:rsidRPr="00B238A8">
        <w:rPr>
          <w:rFonts w:ascii="Times New Roman" w:eastAsia="MS Mincho" w:hAnsi="Times New Roman" w:cs="Arial"/>
          <w:sz w:val="20"/>
          <w:szCs w:val="20"/>
          <w:lang w:val="en-MY" w:bidi="ar-SA"/>
        </w:rPr>
        <w:t xml:space="preserve">directed at </w:t>
      </w:r>
      <w:r w:rsidRPr="00B238A8">
        <w:rPr>
          <w:rFonts w:ascii="Times New Roman" w:eastAsia="MS Mincho" w:hAnsi="Times New Roman" w:cs="Arial"/>
          <w:sz w:val="20"/>
          <w:szCs w:val="20"/>
          <w:lang w:bidi="ar-SA"/>
        </w:rPr>
        <w:t xml:space="preserve">contaminants or pollutants </w:t>
      </w:r>
      <w:r w:rsidRPr="00B238A8">
        <w:rPr>
          <w:rFonts w:ascii="Times New Roman" w:eastAsia="MS Mincho" w:hAnsi="Times New Roman" w:cs="Arial"/>
          <w:sz w:val="20"/>
          <w:szCs w:val="20"/>
          <w:lang w:val="en-MY" w:bidi="ar-SA"/>
        </w:rPr>
        <w:t xml:space="preserve">through </w:t>
      </w:r>
      <w:r w:rsidRPr="00B238A8">
        <w:rPr>
          <w:rFonts w:ascii="Times New Roman" w:eastAsia="MS Mincho" w:hAnsi="Times New Roman" w:cs="Arial"/>
          <w:sz w:val="20"/>
          <w:szCs w:val="20"/>
          <w:lang w:bidi="ar-SA"/>
        </w:rPr>
        <w:t>inactive biomass,</w:t>
      </w:r>
      <w:r w:rsidRPr="00B238A8">
        <w:rPr>
          <w:rFonts w:ascii="Times New Roman" w:eastAsia="MS Mincho" w:hAnsi="Times New Roman" w:cs="Arial"/>
          <w:sz w:val="20"/>
          <w:szCs w:val="20"/>
          <w:lang w:val="en-MY" w:bidi="ar-SA"/>
        </w:rPr>
        <w:t xml:space="preserve"> which</w:t>
      </w:r>
      <w:r w:rsidRPr="00B238A8">
        <w:rPr>
          <w:rFonts w:ascii="Times New Roman" w:eastAsia="MS Mincho" w:hAnsi="Times New Roman" w:cs="Arial"/>
          <w:sz w:val="20"/>
          <w:szCs w:val="20"/>
          <w:lang w:bidi="ar-SA"/>
        </w:rPr>
        <w:t xml:space="preserve"> allow</w:t>
      </w:r>
      <w:r w:rsidRPr="00B238A8">
        <w:rPr>
          <w:rFonts w:ascii="Times New Roman" w:eastAsia="MS Mincho" w:hAnsi="Times New Roman" w:cs="Arial"/>
          <w:sz w:val="20"/>
          <w:szCs w:val="20"/>
          <w:lang w:val="en-MY" w:bidi="ar-SA"/>
        </w:rPr>
        <w:t xml:space="preserve">s </w:t>
      </w:r>
      <w:r w:rsidRPr="00B238A8">
        <w:rPr>
          <w:rFonts w:ascii="Times New Roman" w:eastAsia="MS Mincho" w:hAnsi="Times New Roman" w:cs="Arial"/>
          <w:sz w:val="20"/>
          <w:szCs w:val="20"/>
          <w:lang w:bidi="ar-SA"/>
        </w:rPr>
        <w:t>the contaminants to be passively concentrated and b</w:t>
      </w:r>
      <w:r w:rsidRPr="00B238A8">
        <w:rPr>
          <w:rFonts w:ascii="Times New Roman" w:eastAsia="MS Mincho" w:hAnsi="Times New Roman" w:cs="Arial"/>
          <w:sz w:val="20"/>
          <w:szCs w:val="20"/>
          <w:lang w:val="en-MY" w:bidi="ar-SA"/>
        </w:rPr>
        <w:t>ou</w:t>
      </w:r>
      <w:r w:rsidRPr="00B238A8">
        <w:rPr>
          <w:rFonts w:ascii="Times New Roman" w:eastAsia="MS Mincho" w:hAnsi="Times New Roman" w:cs="Arial"/>
          <w:sz w:val="20"/>
          <w:szCs w:val="20"/>
          <w:lang w:bidi="ar-SA"/>
        </w:rPr>
        <w:t xml:space="preserve">nd to their cellular structure. Several absorbent materials have previously been used, </w:t>
      </w:r>
      <w:r w:rsidRPr="00B238A8">
        <w:rPr>
          <w:rFonts w:ascii="Times New Roman" w:eastAsia="MS Mincho" w:hAnsi="Times New Roman" w:cs="Arial"/>
          <w:sz w:val="20"/>
          <w:szCs w:val="20"/>
          <w:lang w:val="en-MY" w:bidi="ar-SA"/>
        </w:rPr>
        <w:t xml:space="preserve">including </w:t>
      </w:r>
      <w:r w:rsidRPr="00B238A8">
        <w:rPr>
          <w:rFonts w:ascii="Times New Roman" w:eastAsia="MS Mincho" w:hAnsi="Times New Roman" w:cs="Arial"/>
          <w:sz w:val="20"/>
          <w:szCs w:val="20"/>
          <w:lang w:bidi="ar-SA"/>
        </w:rPr>
        <w:t xml:space="preserve">algae [8], fungi [9], bacteria [10], seaweeds [11], and some higher plants [12]. Several studies have assessed the efficiency of </w:t>
      </w:r>
      <w:r w:rsidRPr="00B238A8">
        <w:rPr>
          <w:rFonts w:ascii="Times New Roman" w:eastAsia="MS Mincho" w:hAnsi="Times New Roman" w:cs="Arial"/>
          <w:sz w:val="20"/>
          <w:szCs w:val="20"/>
          <w:lang w:val="en-MY" w:bidi="ar-SA"/>
        </w:rPr>
        <w:t xml:space="preserve">using </w:t>
      </w:r>
      <w:r w:rsidRPr="00B238A8">
        <w:rPr>
          <w:rFonts w:ascii="Times New Roman" w:eastAsia="MS Mincho" w:hAnsi="Times New Roman" w:cs="Arial"/>
          <w:sz w:val="20"/>
          <w:szCs w:val="20"/>
          <w:lang w:bidi="ar-SA"/>
        </w:rPr>
        <w:t xml:space="preserve">different biosorbent materials </w:t>
      </w:r>
      <w:r w:rsidRPr="00B238A8">
        <w:rPr>
          <w:rFonts w:ascii="Times New Roman" w:eastAsia="MS Mincho" w:hAnsi="Times New Roman" w:cs="Arial"/>
          <w:sz w:val="20"/>
          <w:szCs w:val="20"/>
          <w:lang w:val="en-MY" w:bidi="ar-SA"/>
        </w:rPr>
        <w:t xml:space="preserve">for </w:t>
      </w:r>
      <w:r w:rsidRPr="00B238A8">
        <w:rPr>
          <w:rFonts w:ascii="Times New Roman" w:eastAsia="MS Mincho" w:hAnsi="Times New Roman" w:cs="Arial"/>
          <w:sz w:val="20"/>
          <w:szCs w:val="20"/>
          <w:lang w:bidi="ar-SA"/>
        </w:rPr>
        <w:t xml:space="preserve">treating heavy metals in wastewater. For example,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{"citationItems":[{"id":"ITEM-1","itemData":{"DOI":"10.1016/j.ibiod.2014.03.022","ISSN":"09648305","abstract":"In this study, the biosorption of lead (II) ions on Sargassum ilicifolium, brown seaweed, was investigated in a batch system. The effects of operating parameters such as initial pH, initial metal ion concentration, and biosorbent concentration on the lead (II) biosorption were studied using response surface methodology (RSM). The optimum biosorption conditions were determined as initial pH 3.7, biosorbent concentration 0.2gl-1, and initial lead (II) ion concentration 200mgl-1. The maximum uptake capacity of S. ilicifolium for lead (II) ions was found to be 195±3.3mgg-1 at optimum conditions. The nature of biomass-metal ion interactions was evaluated by FTIR analysis. The equilibrium biosorption data fit very well with both Langmuir and Freundlich isotherm models. The biosorption performance of S.ilicifolium for lead (II) ions (qmax=195mgg-1) was significantly higher than the Pb(II) biosorption performance reported for other biosorbents. The abundant and economic biomass S. ilicifolium could be used for removal of Pb(II) from wastewater. © 2014 Elsevier Ltd.","author":[{"dropping-particle":"","family":"Tabaraki","given":"Reza","non-dropping-particle":"","parse-names":false,"suffix":""},{"dropping-particle":"","family":"Nateghi","given":"Ashraf","non-dropping-particle":"","parse-names":false,"suffix":""},{"dropping-particle":"","family":"Ahmady-Asbchin","given":"Salman","non-dropping-particle":"","parse-names":false,"suffix":""}],"container-title":"International Biodeterioration and Biodegradation","id":"ITEM-1","issued":{"date-parts":[["2014"]]},"page":"145-152","publisher":"Elsevier Ltd","title":"Biosorption of lead (II) ions on Sargassum ilicifolium: Application of response surface methodology","type":"article-journal","volume":"93"},"uris":["http://www.mendeley.com/documents/?uuid=76440e3f-75f4-41e2-9597-d7431f37235b"]}],"mendeley":{"formattedCitation":"(Tabaraki et al., 2014)","manualFormatting":"Tabaraki et al. ","plainTextFormattedCitation":"(Tabaraki et al., 2014)","previouslyFormattedCitation":"(Tabaraki et al., 2014)"},"properties":{"noteIndex":0},"schema":"https://github.com/citation-style-language/schema/raw/master/csl-citation.json"}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 xml:space="preserve">Tabaraki et al. </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[13] assessed the efficiency of brown seaweed on Pb(II) ions biosorption. At optimal conditions, they found the maximum seaweed uptake for the Pb(II) ions uptake to be 195±3.3 mg/g. The study of peanut shell efficacy on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was carried out by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{"citationItems":[{"id":"ITEM-1","itemData":{"DOI":"10.1016/j.jece.2014.03.015","ISSN":"22133437","abstract":"In this study, the biosorption of Pb(II) ions onto peanut shells from an aqueous solution was studied in a batch system as a function of temperature, pH of the solution, contact time, initial concentration of Pb(II) ions, and peanut shell concentration. It was determined that the biosorption capacity of the peanut shells decreased as the temperature was increased. Several kinetic models were used to determine the biosorption mechanism. It was determined that the biosorption system obeyed the pseudo-second-order kinetic model by taking into account the correlation coefficient value. Calculated activation energy value (Ea) was 33 kJ/mol and indicates that physical biosorption mechanisms occurred. This value indicated that physical biosorption mechanisms occurred. The linear forms of the Freundlich and Langmuir isotherms were applied to the biosorption data, and it was concluded that the Langmuir isotherm gave a better fit than the Freundlich model based on the values of the correlation coefficients (R2). The maximum Langmuir biosorbent capacity (q max) was approximately 39 mg/g. The thermodynamic parameters were calculated for the process by which Pb(II) ions were removed by the peanut shells. According to these parameters, it was observed that the biosorption of Pb(II) ions by the peanut shells is exothermic and spontaneous. © 2014 Elsevier Ltd.","author":[{"dropping-particle":"","family":"Taşar","given":"Şeyda","non-dropping-particle":"","parse-names":false,"suffix":""},{"dropping-particle":"","family":"Kaya","given":"Fatih","non-dropping-particle":"","parse-names":false,"suffix":""},{"dropping-particle":"","family":"Özer","given":"Ahmet","non-dropping-particle":"","parse-names":false,"suffix":""}],"container-title":"Journal of Environmental Chemical Engineering","id":"ITEM-1","issue":"2","issued":{"date-parts":[["2014"]]},"page":"1018-1026","title":"Biosorption of lead(II) ions from aqueous solution by peanut shells: Equilibrium, thermodynamic and kinetic studies","type":"article-journal","volume":"2"},"uris":["http://www.mendeley.com/documents/?uuid=a5f34635-77bd-44a7-9b3b-3a4b8f87a788"]}],"mendeley":{"formattedCitation":"(Taşar et al., 2014)","manualFormatting":"Taşar et al. ","plainTextFormattedCitation":"(Taşar et al., 2014)","previouslyFormattedCitation":"(Taşar et al., 2014)"},"properties":{"noteIndex":0},"schema":"https://github.com/citation-style-language/schema/raw/master/csl-citation.json"}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 xml:space="preserve">Taşar et al. </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[14], and 39 mg/g was </w:t>
      </w:r>
      <w:r w:rsidRPr="00B238A8">
        <w:rPr>
          <w:rFonts w:ascii="Times New Roman" w:eastAsia="MS Mincho" w:hAnsi="Times New Roman" w:cs="Arial"/>
          <w:sz w:val="20"/>
          <w:szCs w:val="20"/>
          <w:lang w:val="en-MY" w:bidi="ar-SA"/>
        </w:rPr>
        <w:t>the</w:t>
      </w:r>
      <w:r w:rsidRPr="00B238A8">
        <w:rPr>
          <w:rFonts w:ascii="Times New Roman" w:eastAsia="MS Mincho" w:hAnsi="Times New Roman" w:cs="Arial"/>
          <w:sz w:val="20"/>
          <w:szCs w:val="20"/>
          <w:lang w:bidi="ar-SA"/>
        </w:rPr>
        <w:t xml:space="preserve"> maximum uptake obtained. The biosorption capacities of olive mill solid (OMS) and olive stone (OS) on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uptake were examined by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{"citationItems":[{"id":"ITEM-1","itemData":{"DOI":"10.1016/j.cej.2010.03.085","ISSN":"13858947","abstract":"This study examined the lead biosorption capacities of two solid wastes from olive-oil production, two-phase olive mill solid (OMS) and olive stone (OS), using batch experiments at different temperatures. The aim was to determine the isotherms of these wastes and thus their applicability as alternative biosorbents for lead removal. In addition, the solids were characterised by Fourier Transform Infrared (FTIR) spectroscopy.The OS sorption isotherms were characterised as type I. However, a step characteristic of type IV isotherms was observed in the OMS lead ion sorption isotherms. Well-known non-linear isotherm models, such as Langmuir, Freundlich and Sips, were tested for fit to the OS experimental data, whereas a two-step Langmuir-type model and an adaptation of the Dubinin-Astakov model that can mathematically describe multistep-shaped isotherms were used for the OMS data. The maximum lead uptake was 6.57. mg/g for OS and 23.69. mg/g for OMS at 25°C. The FTIR spectra before and after lead biosorption, confirmed that carboxyl groups were the main sorption sites for lead removal on the surface of both biosorbents. © 2010 Elsevier B.V.","author":[{"dropping-particle":"","family":"Blázquez","given":"G.","non-dropping-particle":"","parse-names":false,"suffix":""},{"dropping-particle":"","family":"Calero","given":"M.","non-dropping-particle":"","parse-names":false,"suffix":""},{"dropping-particle":"","family":"Hernáinz","given":"F.","non-dropping-particle":"","parse-names":false,"suffix":""},{"dropping-particle":"","family":"Tenorio","given":"G.","non-dropping-particle":"","parse-names":false,"suffix":""},{"dropping-particle":"","family":"Martín-Lara","given":"M. A.","non-dropping-particle":"","parse-names":false,"suffix":""}],"container-title":"Chemical Engineering Journal","id":"ITEM-1","issue":"2","issued":{"date-parts":[["2010"]]},"page":"615-622","title":"Equilibrium biosorption of lead(II) from aqueous solutions by solid waste from olive-oil production","type":"article-journal","volume":"160"},"uris":["http://www.mendeley.com/documents/?uuid=4115caf8-f892-4af1-b343-f6d64a1fe7ad"]}],"mendeley":{"formattedCitation":"(Blázquez et al., 2010)","manualFormatting":"Blázquez et al. ","plainTextFormattedCitation":"(Blázquez et al., 2010)","previouslyFormattedCitation":"(Blázquez et al., 2010)"},"properties":{"noteIndex":0},"schema":"https://github.com/citation-style-language/schema/raw/master/csl-citation.json"}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 xml:space="preserve">Blázquez et al. </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[15] in batch experiments under varied temperatures. The results revealed that the maximum Pb uptake was 6.57 mg/g on OS and 23.69 mg/g on OMS at 25 </w:t>
      </w:r>
      <w:r w:rsidRPr="00B238A8">
        <w:rPr>
          <w:rFonts w:ascii="Times New Roman" w:eastAsia="MS Mincho" w:hAnsi="Times New Roman"/>
          <w:sz w:val="20"/>
          <w:szCs w:val="20"/>
          <w:lang w:bidi="ar-SA"/>
        </w:rPr>
        <w:t>º</w:t>
      </w:r>
      <w:r w:rsidRPr="00B238A8">
        <w:rPr>
          <w:rFonts w:ascii="Times New Roman" w:eastAsia="MS Mincho" w:hAnsi="Times New Roman" w:cs="Arial"/>
          <w:sz w:val="20"/>
          <w:szCs w:val="20"/>
          <w:lang w:bidi="ar-SA"/>
        </w:rPr>
        <w:t xml:space="preserve">C.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{"citationItems":[{"id":"ITEM-1","itemData":{"DOI":"10.1007/s11270-013-1446-z","ISSN":"15732932","abstract":"In this study, residues of passion fruit skin were examined as biosorbent materials, evaluating their capacity to adsorb lead(II) ions in in natura skin (SK-N) and two modified skins, with NaOH (SK-S) and with NaOH and citric acid (SK-SCA). The biomass characterization was done through Fourier transform infrared spectroscopy which confirmed the chemical modification by a peak at 1,730 cm-1. Also, scanning electron microscopy analyses were done, where the increase of residue roughness was observed after the modification. And finally, the values of point of zero charge were determined and were lower than 5.5 for all residues. In the experiments of adsorption in function of pH, it was verified that after pH 4, the adsorbed amount was practically constant. Regarding the necessary time to reach equilibrium, the value that was found was approximately 170 min, and kinetics followed the behavior described by the pseudo-second-order equation. The maximum adsorption capacity was 204 mg g -1 for the SK-SCA biomass. The residues followed Langmuir adsorption model. Through thermodynamic parameters, it was verified that adsorption occurs spontaneously due to the negative values of Gibbs' energy. Moreover, desorption studies showed that adsorbed ions may be recovered in two cycles. Thus, due to the high adsorption capacity of lead ions, passion fruit skin can be utilized in filters to retain this metal in the future. © 2013 Springer Science+Business Media Dordrecht.","author":[{"dropping-particle":"","family":"Gerola","given":"Gislaine Passarella","non-dropping-particle":"","parse-names":false,"suffix":""},{"dropping-particle":"","family":"Boas","given":"Naiza Vilas","non-dropping-particle":"","parse-names":false,"suffix":""},{"dropping-particle":"","family":"Caetano","given":"Josiane","non-dropping-particle":"","parse-names":false,"suffix":""},{"dropping-particle":"","family":"Tarley","given":"César Ricardo Teixeira","non-dropping-particle":"","parse-names":false,"suffix":""},{"dropping-particle":"","family":"Gonçalves","given":"Affonso Celso","non-dropping-particle":"","parse-names":false,"suffix":""},{"dropping-particle":"","family":"Dragunski","given":"Douglas Cardoso","non-dropping-particle":"","parse-names":false,"suffix":""}],"container-title":"Water, Air, and Soil Pollution","id":"ITEM-1","issue":"2","issued":{"date-parts":[["2013"]]},"title":"Utilization of passion fruit skin by-product as Lead(II) Ion biosorbent","type":"article-journal","volume":"224"},"uris":["http://www.mendeley.com/documents/?uuid=b2efed33-641d-449b-8b5c-c79a03e576b3"]}],"mendeley":{"formattedCitation":"(Gerola et al., 2013)","manualFormatting":"Gerola et al.","plainTextFormattedCitation":"(Gerola et al., 2013)","previouslyFormattedCitation":"(Gerola et al., 2013)"},"properties":{"noteIndex":0},"schema":"https://github.com/citation-style-language/schema/raw/master/csl-citation.json"}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Gerola et al.</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 [16] investigated the biosorption capacity of the residue of passionfruit </w:t>
      </w:r>
      <w:r w:rsidRPr="00B238A8">
        <w:rPr>
          <w:rFonts w:ascii="Times New Roman" w:eastAsia="MS Mincho" w:hAnsi="Times New Roman" w:cs="Arial"/>
          <w:sz w:val="20"/>
          <w:szCs w:val="20"/>
          <w:lang w:bidi="ar-SA"/>
        </w:rPr>
        <w:t>skin onto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and found </w:t>
      </w:r>
      <w:r w:rsidRPr="00B238A8">
        <w:rPr>
          <w:rFonts w:ascii="Times New Roman" w:eastAsia="MS Mincho" w:hAnsi="Times New Roman" w:cs="Arial"/>
          <w:sz w:val="20"/>
          <w:szCs w:val="20"/>
          <w:lang w:val="en-MY" w:bidi="ar-SA"/>
        </w:rPr>
        <w:t xml:space="preserve">that </w:t>
      </w:r>
      <w:r w:rsidRPr="00B238A8">
        <w:rPr>
          <w:rFonts w:ascii="Times New Roman" w:eastAsia="MS Mincho" w:hAnsi="Times New Roman" w:cs="Arial"/>
          <w:sz w:val="20"/>
          <w:szCs w:val="20"/>
          <w:lang w:bidi="ar-SA"/>
        </w:rPr>
        <w:t xml:space="preserve">the maximum biosorption capacity was 204 mg/g at pH 4 for 170 min.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{"citationItems":[{"id":"ITEM-1","itemData":{"DOI":"10.1016/j.bej.2006.10.020","ISSN":"1369703X","abstract":"Ten different seaweed species were compared on the basis of lead uptake at different pH conditions. The brown seaweed, Turbinaria conoides, exhibited maximum lead uptake (at pH 4.5) and hence was selected for further studies. Sorption isotherms, obtained at different pH (4-5) and temperature (25-35 °C) conditions were fitted using Langmuir and Sips models. According to the Langmuir model, the maximum lead uptake of 439.4 mg/g was obtained at optimum pH (4.5) and temperature (30 °C). The Sips model better described the sorption isotherms with high correlation coefficients at all conditions examined. Various thermodynamic parameters such as ΔG°, ΔH° and ΔS° were calculated indicating that the present system was a spontaneous and endothermic process. Through potentiometric titrations, number of binding sites (carboxyl groups) and pK1 were determined as 4.1 mmol/g and 4.4, respectively. The influence of co-ions (Na+, K+, Mg2+ and Ca2+) on lead uptake was well pronounced in the case of divalent ions compared to monovalent ions. The solution of 0.1 M HCl successfully eluted all lead ions from lead-loaded T. conoides biomass. The regeneration experiments revealed that the alga could be successfully reused for five cycles without any loss in lead biosorption capacity. A glass column (2 cm i.d. and 35 cm height) was used to study the continuous lead biosorption performance of T. conoides. At 25 cm (bed height), 5 ml/min (flow rate) and 100 mg/l (initial lead concentration), T. conoides exhibited lead uptake of 220.1 mg/g. The column was successfully eluted using 0.1 M HCl, with elution efficiency of 99.7%. © 2006 Elsevier B.V. All rights reserved.","author":[{"dropping-particle":"","family":"Senthilkumar","given":"R.","non-dropping-particle":"","parse-names":false,"suffix":""},{"dropping-particle":"","family":"Vijayaraghavan","given":"K.","non-dropping-particle":"","parse-names":false,"suffix":""},{"dropping-particle":"","family":"Thilakavathi","given":"M.","non-dropping-particle":"","parse-names":false,"suffix":""},{"dropping-particle":"","family":"Iyer","given":"P. V.R.","non-dropping-particle":"","parse-names":false,"suffix":""},{"dropping-particle":"","family":"Velan","given":"M.","non-dropping-particle":"","parse-names":false,"suffix":""}],"container-title":"Biochemical Engineering Journal","id":"ITEM-1","issue":"3","issued":{"date-parts":[["2007"]]},"page":"211-216","title":"Application of seaweeds for the removal of lead from aqueous solution","type":"article-journal","volume":"33"},"uris":["http://www.mendeley.com/documents/?uuid=77852f81-aa1e-4689-843b-1fa7c086fd2b"]}],"mendeley":{"formattedCitation":"(Senthilkumar et al., 2007)","manualFormatting":"Senthilkumar et al.","plainTextFormattedCitation":"(Senthilkumar et al., 2007)","previouslyFormattedCitation":"(Senthilkumar et al., 2007)"},"properties":{"noteIndex":0},"schema":"https://github.com/citation-style-language/schema/raw/master/csl-citation.json"}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Senthilkumar et al.</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 [17] evaluated </w:t>
      </w:r>
      <w:r w:rsidRPr="00B238A8">
        <w:rPr>
          <w:rFonts w:ascii="Times New Roman" w:eastAsia="MS Mincho" w:hAnsi="Times New Roman" w:cs="Arial"/>
          <w:sz w:val="20"/>
          <w:szCs w:val="20"/>
          <w:lang w:val="en-MY" w:bidi="ar-SA"/>
        </w:rPr>
        <w:t xml:space="preserve">the </w:t>
      </w:r>
      <w:r w:rsidRPr="00B238A8">
        <w:rPr>
          <w:rFonts w:ascii="Times New Roman" w:eastAsia="MS Mincho" w:hAnsi="Times New Roman" w:cs="Arial"/>
          <w:sz w:val="20"/>
          <w:szCs w:val="20"/>
          <w:lang w:bidi="ar-SA"/>
        </w:rPr>
        <w:t>biosorption functions of ten (10) different seaweed species on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uptake under varied pH environments. The brown seaweed </w:t>
      </w:r>
      <w:r w:rsidRPr="00B238A8">
        <w:rPr>
          <w:rFonts w:ascii="Times New Roman" w:eastAsia="MS Mincho" w:hAnsi="Times New Roman" w:cs="Arial"/>
          <w:i/>
          <w:iCs/>
          <w:sz w:val="20"/>
          <w:szCs w:val="20"/>
          <w:lang w:bidi="ar-SA"/>
        </w:rPr>
        <w:t>Turbinaria Conoides</w:t>
      </w:r>
      <w:r w:rsidRPr="00B238A8">
        <w:rPr>
          <w:rFonts w:ascii="Times New Roman" w:eastAsia="MS Mincho" w:hAnsi="Times New Roman" w:cs="Arial"/>
          <w:sz w:val="20"/>
          <w:szCs w:val="20"/>
          <w:lang w:bidi="ar-SA"/>
        </w:rPr>
        <w:t xml:space="preserve"> displayed optimal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uptake of 439.4 mg/g at pH 4.5 and </w:t>
      </w:r>
      <w:r w:rsidRPr="00B238A8">
        <w:rPr>
          <w:rFonts w:ascii="Times New Roman" w:eastAsia="MS Mincho" w:hAnsi="Times New Roman" w:cs="Arial"/>
          <w:sz w:val="20"/>
          <w:szCs w:val="20"/>
          <w:lang w:val="en-MY" w:bidi="ar-SA"/>
        </w:rPr>
        <w:t xml:space="preserve">a </w:t>
      </w:r>
      <w:r w:rsidRPr="00B238A8">
        <w:rPr>
          <w:rFonts w:ascii="Times New Roman" w:eastAsia="MS Mincho" w:hAnsi="Times New Roman" w:cs="Arial"/>
          <w:sz w:val="20"/>
          <w:szCs w:val="20"/>
          <w:lang w:bidi="ar-SA"/>
        </w:rPr>
        <w:t>temperature</w:t>
      </w:r>
      <w:r w:rsidRPr="00B238A8">
        <w:rPr>
          <w:rFonts w:ascii="Times New Roman" w:eastAsia="MS Mincho" w:hAnsi="Times New Roman" w:cs="Arial"/>
          <w:sz w:val="20"/>
          <w:szCs w:val="20"/>
          <w:lang w:val="en-MY" w:bidi="ar-SA"/>
        </w:rPr>
        <w:t xml:space="preserve"> of</w:t>
      </w:r>
      <w:r w:rsidRPr="00B238A8">
        <w:rPr>
          <w:rFonts w:ascii="Times New Roman" w:eastAsia="MS Mincho" w:hAnsi="Times New Roman" w:cs="Arial"/>
          <w:sz w:val="20"/>
          <w:szCs w:val="20"/>
          <w:lang w:bidi="ar-SA"/>
        </w:rPr>
        <w:t xml:space="preserve"> 30 </w:t>
      </w:r>
      <w:r w:rsidRPr="00B238A8">
        <w:rPr>
          <w:rFonts w:ascii="Times New Roman" w:eastAsia="MS Mincho" w:hAnsi="Times New Roman"/>
          <w:sz w:val="20"/>
          <w:szCs w:val="20"/>
          <w:lang w:bidi="ar-SA"/>
        </w:rPr>
        <w:t>º</w:t>
      </w:r>
      <w:r w:rsidRPr="00B238A8">
        <w:rPr>
          <w:rFonts w:ascii="Times New Roman" w:eastAsia="MS Mincho" w:hAnsi="Times New Roman" w:cs="Arial"/>
          <w:sz w:val="20"/>
          <w:szCs w:val="20"/>
          <w:lang w:bidi="ar-SA"/>
        </w:rPr>
        <w:t xml:space="preserve">C. The work of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{"citationItems":[{"id":"ITEM-1","itemData":{"DOI":"10.1016/j.jare.2012.07.004","ISSN":"20901232","abstract":"The present work represents the biosorption of Cd(II) and Pb(II) from aqueous solution onto the biomass of the blue green alga Anabaena sphaerica as a function of pH, biosorbent dosage, contact time, and initial metal ion concentrations. Freundlich, Langmuir, and Dubinin-Radushkevich (D-R) models were applied to describe the biosorption isotherm of both metals by A. sphaerica biomass. The biosorption isotherms studies indicated that the biosorption of Cd(II) and Pb(II) follows the Langmuir and Freundlish models. The maximum biosorption capacities (qmax) were 111.1 and 121.95. mg/g, respectively, at the optimum conditions for each metal. From the D-R isotherm model, the mean free energy was calculated to be 11.7 and 14.3. kJ/mol indicating that the biosorption mechanism of Cd(II) and Pb(II) by A. sphaerica was chemisorption. The FTIR analysis for surface function group of algal biomass revealed the existence of amino, carboxyl, hydroxyl, and carbonyl groups, which are responsible for the biosorption of Cd(II) and Pb(II). The results suggested that the biomass of A. sphaerica is an extremely efficient biosorbent for the removal of Cd(II) and Pb(II) from aqueous solutions. © 2012.","author":[{"dropping-particle":"","family":"Abdel -Aty","given":"Azza M.","non-dropping-particle":"","parse-names":false,"suffix":""},{"dropping-particle":"","family":"Ammar","given":"Nabila S.","non-dropping-particle":"","parse-names":false,"suffix":""},{"dropping-particle":"","family":"Abdel Ghafar","given":"Hany H.","non-dropping-particle":"","parse-names":false,"suffix":""},{"dropping-particle":"","family":"Ali","given":"Rizka K.","non-dropping-particle":"","parse-names":false,"suffix":""}],"container-title":"Journal of Advanced Research","id":"ITEM-1","issue":"4","issued":{"date-parts":[["2013"]]},"page":"367-374","publisher":"Cairo University","title":"Biosorption of cadmium and lead from aqueous solution by fresh water alga Anabaena sphaerica biomass","type":"article-journal","volume":"4"},"uris":["http://www.mendeley.com/documents/?uuid=45b7d72b-eafe-4b7c-b783-04c0f5d34932"]}],"mendeley":{"formattedCitation":"(Abdel -Aty et al., 2013)","manualFormatting":"Abdel -Aty et al. ","plainTextFormattedCitation":"(Abdel -Aty et al., 2013)","previouslyFormattedCitation":"(Abdel -Aty et al., 2013)"},"properties":{"noteIndex":0},"schema":"https://github.com/citation-style-language/schema/raw/master/csl-citation.json"}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 xml:space="preserve">Abdel-Aty et al. </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[18] presented the applicability of Blue-Green Alga </w:t>
      </w:r>
      <w:r w:rsidRPr="00B238A8">
        <w:rPr>
          <w:rFonts w:ascii="Times New Roman" w:eastAsia="MS Mincho" w:hAnsi="Times New Roman" w:cs="Arial"/>
          <w:i/>
          <w:iCs/>
          <w:sz w:val="20"/>
          <w:szCs w:val="20"/>
          <w:lang w:bidi="ar-SA"/>
        </w:rPr>
        <w:t>Anabaena Sphaerica</w:t>
      </w:r>
      <w:r w:rsidRPr="00B238A8">
        <w:rPr>
          <w:rFonts w:ascii="Times New Roman" w:eastAsia="MS Mincho" w:hAnsi="Times New Roman" w:cs="Arial"/>
          <w:sz w:val="20"/>
          <w:szCs w:val="20"/>
          <w:lang w:bidi="ar-SA"/>
        </w:rPr>
        <w:t xml:space="preserve"> as a biosorbent of Cd</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and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from aqueous solutions. The ideal biosorption capacity was 111.1</w:t>
      </w:r>
      <w:r w:rsidRPr="00B238A8">
        <w:rPr>
          <w:rFonts w:ascii="Times New Roman" w:eastAsia="MS Mincho" w:hAnsi="Times New Roman" w:cs="Arial"/>
          <w:sz w:val="20"/>
          <w:szCs w:val="20"/>
          <w:lang w:val="en-MY" w:bidi="ar-SA"/>
        </w:rPr>
        <w:t xml:space="preserve"> </w:t>
      </w:r>
      <w:r w:rsidRPr="00B238A8">
        <w:rPr>
          <w:rFonts w:ascii="Times New Roman" w:eastAsia="MS Mincho" w:hAnsi="Times New Roman" w:cs="Arial"/>
          <w:sz w:val="20"/>
          <w:szCs w:val="20"/>
          <w:lang w:bidi="ar-SA"/>
        </w:rPr>
        <w:t xml:space="preserve">mg/g and 121.95 mg/g, respectively, at peak conditions. The adsorption capacities of Macroalgae </w:t>
      </w:r>
      <w:r w:rsidRPr="00B238A8">
        <w:rPr>
          <w:rFonts w:ascii="Times New Roman" w:eastAsia="MS Mincho" w:hAnsi="Times New Roman" w:cs="Arial"/>
          <w:i/>
          <w:iCs/>
          <w:sz w:val="20"/>
          <w:szCs w:val="20"/>
          <w:lang w:bidi="ar-SA"/>
        </w:rPr>
        <w:t>Eucheuma Spinosum</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i/>
          <w:iCs/>
          <w:sz w:val="20"/>
          <w:szCs w:val="20"/>
          <w:lang w:bidi="ar-SA"/>
        </w:rPr>
        <w:t>Padina Minor,</w:t>
      </w:r>
      <w:r w:rsidRPr="00B238A8">
        <w:rPr>
          <w:rFonts w:ascii="Times New Roman" w:eastAsia="MS Mincho" w:hAnsi="Times New Roman" w:cs="Arial"/>
          <w:sz w:val="20"/>
          <w:szCs w:val="20"/>
          <w:lang w:bidi="ar-SA"/>
        </w:rPr>
        <w:t xml:space="preserve"> and </w:t>
      </w:r>
      <w:r w:rsidRPr="00B238A8">
        <w:rPr>
          <w:rFonts w:ascii="Times New Roman" w:eastAsia="MS Mincho" w:hAnsi="Times New Roman" w:cs="Arial"/>
          <w:i/>
          <w:iCs/>
          <w:sz w:val="20"/>
          <w:szCs w:val="20"/>
          <w:lang w:bidi="ar-SA"/>
        </w:rPr>
        <w:t>Sargassum Crasifollum</w:t>
      </w:r>
      <w:r w:rsidRPr="00B238A8">
        <w:rPr>
          <w:rFonts w:ascii="Times New Roman" w:eastAsia="MS Mincho" w:hAnsi="Times New Roman" w:cs="Arial"/>
          <w:sz w:val="20"/>
          <w:szCs w:val="20"/>
          <w:lang w:bidi="ar-SA"/>
        </w:rPr>
        <w:t xml:space="preserve"> were assessed by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{"citationItems":[{"id":"ITEM-1","itemData":{"author":[{"dropping-particle":"","family":"Putri","given":"L.S.E","non-dropping-particle":"","parse-names":false,"suffix":""}],"container-title":"Asian Journal of Applied Sciences","id":"ITEM-1","issue":"August","issued":{"date-parts":[["2016"]]},"page":"520-525","title":"Biosorption of lead using macroalgae Eucheuma spinosum, Padina minor and Sargassum crassifolium in aqueous solution","type":"article-journal","volume":"4"},"uris":["http://www.mendeley.com/documents/?uuid=b7216c10-4c8d-4e75-92c4-da370073395e"]}],"mendeley":{"formattedCitation":"(Putri, 2016)","manualFormatting":"Putri ","plainTextFormattedCitation":"(Putri, 2016)","previouslyFormattedCitation":"(Putri, 2016)"},"properties":{"noteIndex":0},"schema":"https://github.com/citation-style-language/schema/raw/master/csl-citation.json"}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 xml:space="preserve">Putri </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xml:space="preserve">[19] </w:t>
      </w:r>
      <w:r w:rsidRPr="00B238A8">
        <w:rPr>
          <w:rFonts w:ascii="Times New Roman" w:eastAsia="MS Mincho" w:hAnsi="Times New Roman" w:cs="Arial"/>
          <w:sz w:val="20"/>
          <w:szCs w:val="20"/>
          <w:lang w:val="en-MY" w:bidi="ar-SA"/>
        </w:rPr>
        <w:t>for their</w:t>
      </w:r>
      <w:r w:rsidRPr="00B238A8">
        <w:rPr>
          <w:rFonts w:ascii="Times New Roman" w:eastAsia="MS Mincho" w:hAnsi="Times New Roman" w:cs="Arial"/>
          <w:sz w:val="20"/>
          <w:szCs w:val="20"/>
          <w:lang w:bidi="ar-SA"/>
        </w:rPr>
        <w:t xml:space="preserve">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biosorption. The maximum biosorption capacity (55.56 mg/g) was </w:t>
      </w:r>
      <w:r w:rsidRPr="00B238A8">
        <w:rPr>
          <w:rFonts w:ascii="Times New Roman" w:eastAsia="MS Mincho" w:hAnsi="Times New Roman" w:cs="Arial"/>
          <w:sz w:val="20"/>
          <w:szCs w:val="20"/>
          <w:lang w:val="en-MY" w:bidi="ar-SA"/>
        </w:rPr>
        <w:t>demonstrat</w:t>
      </w:r>
      <w:r w:rsidRPr="00B238A8">
        <w:rPr>
          <w:rFonts w:ascii="Times New Roman" w:eastAsia="MS Mincho" w:hAnsi="Times New Roman" w:cs="Arial"/>
          <w:sz w:val="20"/>
          <w:szCs w:val="20"/>
          <w:lang w:bidi="ar-SA"/>
        </w:rPr>
        <w:t xml:space="preserve">ed by </w:t>
      </w:r>
      <w:r w:rsidRPr="00B238A8">
        <w:rPr>
          <w:rFonts w:ascii="Times New Roman" w:eastAsia="MS Mincho" w:hAnsi="Times New Roman" w:cs="Arial"/>
          <w:i/>
          <w:iCs/>
          <w:sz w:val="20"/>
          <w:szCs w:val="20"/>
          <w:lang w:bidi="ar-SA"/>
        </w:rPr>
        <w:t>Sargassum Crasifollum</w:t>
      </w:r>
      <w:r w:rsidRPr="00B238A8">
        <w:rPr>
          <w:rFonts w:ascii="Times New Roman" w:eastAsia="MS Mincho" w:hAnsi="Times New Roman" w:cs="Arial"/>
          <w:sz w:val="20"/>
          <w:szCs w:val="20"/>
          <w:lang w:val="en-MY" w:bidi="ar-SA"/>
        </w:rPr>
        <w:t xml:space="preserve">, </w:t>
      </w:r>
      <w:r w:rsidRPr="00B238A8">
        <w:rPr>
          <w:rFonts w:ascii="Times New Roman" w:eastAsia="MS Mincho" w:hAnsi="Times New Roman" w:cs="Arial"/>
          <w:sz w:val="20"/>
          <w:szCs w:val="20"/>
          <w:lang w:bidi="ar-SA"/>
        </w:rPr>
        <w:t xml:space="preserve">followed by </w:t>
      </w:r>
      <w:r w:rsidRPr="00B238A8">
        <w:rPr>
          <w:rFonts w:ascii="Times New Roman" w:eastAsia="MS Mincho" w:hAnsi="Times New Roman" w:cs="Arial"/>
          <w:i/>
          <w:iCs/>
          <w:sz w:val="20"/>
          <w:szCs w:val="20"/>
          <w:lang w:bidi="ar-SA"/>
        </w:rPr>
        <w:t>Padina Minor</w:t>
      </w:r>
      <w:r w:rsidRPr="00B238A8">
        <w:rPr>
          <w:rFonts w:ascii="Times New Roman" w:eastAsia="MS Mincho" w:hAnsi="Times New Roman" w:cs="Arial"/>
          <w:sz w:val="20"/>
          <w:szCs w:val="20"/>
          <w:lang w:bidi="ar-SA"/>
        </w:rPr>
        <w:t xml:space="preserve"> (40.00 mg/g)</w:t>
      </w:r>
      <w:r w:rsidRPr="00B238A8">
        <w:rPr>
          <w:rFonts w:ascii="Times New Roman" w:eastAsia="MS Mincho" w:hAnsi="Times New Roman" w:cs="Arial"/>
          <w:sz w:val="20"/>
          <w:szCs w:val="20"/>
          <w:lang w:val="en-MY" w:bidi="ar-SA"/>
        </w:rPr>
        <w:t>,</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val="en-MY" w:bidi="ar-SA"/>
        </w:rPr>
        <w:t>while</w:t>
      </w:r>
      <w:r w:rsidRPr="00B238A8">
        <w:rPr>
          <w:rFonts w:ascii="Times New Roman" w:eastAsia="MS Mincho" w:hAnsi="Times New Roman" w:cs="Arial"/>
          <w:sz w:val="20"/>
          <w:szCs w:val="20"/>
          <w:lang w:bidi="ar-SA"/>
        </w:rPr>
        <w:t xml:space="preserve"> the l</w:t>
      </w:r>
      <w:r w:rsidRPr="00B238A8">
        <w:rPr>
          <w:rFonts w:ascii="Times New Roman" w:eastAsia="MS Mincho" w:hAnsi="Times New Roman" w:cs="Arial"/>
          <w:sz w:val="20"/>
          <w:szCs w:val="20"/>
          <w:lang w:val="en-MY" w:bidi="ar-SA"/>
        </w:rPr>
        <w:t>owest</w:t>
      </w:r>
      <w:r w:rsidRPr="00B238A8">
        <w:rPr>
          <w:rFonts w:ascii="Times New Roman" w:eastAsia="MS Mincho" w:hAnsi="Times New Roman" w:cs="Arial"/>
          <w:sz w:val="20"/>
          <w:szCs w:val="20"/>
          <w:lang w:bidi="ar-SA"/>
        </w:rPr>
        <w:t xml:space="preserve"> (32.26 mg/g)</w:t>
      </w:r>
      <w:r w:rsidRPr="00B238A8">
        <w:rPr>
          <w:rFonts w:ascii="Times New Roman" w:eastAsia="MS Mincho" w:hAnsi="Times New Roman" w:cs="Arial"/>
          <w:sz w:val="20"/>
          <w:szCs w:val="20"/>
          <w:lang w:val="en-MY" w:bidi="ar-SA"/>
        </w:rPr>
        <w:t xml:space="preserve"> </w:t>
      </w:r>
      <w:r w:rsidRPr="00B238A8">
        <w:rPr>
          <w:rFonts w:ascii="Times New Roman" w:eastAsia="MS Mincho" w:hAnsi="Times New Roman" w:cs="Arial"/>
          <w:sz w:val="20"/>
          <w:szCs w:val="20"/>
          <w:lang w:bidi="ar-SA"/>
        </w:rPr>
        <w:t xml:space="preserve">was </w:t>
      </w:r>
      <w:r w:rsidRPr="00B238A8">
        <w:rPr>
          <w:rFonts w:ascii="Times New Roman" w:eastAsia="MS Mincho" w:hAnsi="Times New Roman" w:cs="Arial"/>
          <w:sz w:val="20"/>
          <w:szCs w:val="20"/>
          <w:lang w:val="en-MY" w:bidi="ar-SA"/>
        </w:rPr>
        <w:t>demonstrat</w:t>
      </w:r>
      <w:r w:rsidRPr="00B238A8">
        <w:rPr>
          <w:rFonts w:ascii="Times New Roman" w:eastAsia="MS Mincho" w:hAnsi="Times New Roman" w:cs="Arial"/>
          <w:sz w:val="20"/>
          <w:szCs w:val="20"/>
          <w:lang w:bidi="ar-SA"/>
        </w:rPr>
        <w:t>ed by</w:t>
      </w:r>
      <w:r w:rsidRPr="00B238A8">
        <w:rPr>
          <w:rFonts w:ascii="Times New Roman" w:eastAsia="MS Mincho" w:hAnsi="Times New Roman" w:cs="Arial"/>
          <w:sz w:val="20"/>
          <w:szCs w:val="20"/>
          <w:lang w:val="en-MY" w:bidi="ar-SA"/>
        </w:rPr>
        <w:t xml:space="preserve"> </w:t>
      </w:r>
      <w:r w:rsidRPr="00B238A8">
        <w:rPr>
          <w:rFonts w:ascii="Times New Roman" w:eastAsia="MS Mincho" w:hAnsi="Times New Roman" w:cs="Arial"/>
          <w:i/>
          <w:iCs/>
          <w:sz w:val="20"/>
          <w:szCs w:val="20"/>
          <w:lang w:bidi="ar-SA"/>
        </w:rPr>
        <w:t>Eucheuma Spinosum</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val="en-MY" w:bidi="ar-SA"/>
        </w:rPr>
        <w:t>S</w:t>
      </w:r>
      <w:r w:rsidRPr="00B238A8">
        <w:rPr>
          <w:rFonts w:ascii="Times New Roman" w:eastAsia="MS Mincho" w:hAnsi="Times New Roman" w:cs="Arial"/>
          <w:sz w:val="20"/>
          <w:szCs w:val="20"/>
          <w:lang w:bidi="ar-SA"/>
        </w:rPr>
        <w:t>tudies on Pb</w:t>
      </w:r>
      <w:r w:rsidRPr="00B238A8">
        <w:rPr>
          <w:rFonts w:ascii="Times New Roman" w:eastAsia="MS Mincho" w:hAnsi="Times New Roman" w:cs="Arial"/>
          <w:sz w:val="20"/>
          <w:szCs w:val="20"/>
          <w:vertAlign w:val="superscript"/>
          <w:lang w:bidi="ar-SA"/>
        </w:rPr>
        <w:t>2+</w:t>
      </w:r>
      <w:r w:rsidRPr="00B238A8">
        <w:rPr>
          <w:rFonts w:ascii="Times New Roman" w:eastAsia="MS Mincho" w:hAnsi="Times New Roman" w:cs="Arial"/>
          <w:sz w:val="20"/>
          <w:szCs w:val="20"/>
          <w:lang w:bidi="ar-SA"/>
        </w:rPr>
        <w:t xml:space="preserve"> ions adsorption from aqueous solution</w:t>
      </w:r>
      <w:r w:rsidRPr="00B238A8">
        <w:rPr>
          <w:rFonts w:ascii="Times New Roman" w:eastAsia="MS Mincho" w:hAnsi="Times New Roman" w:cs="Arial"/>
          <w:sz w:val="20"/>
          <w:szCs w:val="20"/>
          <w:lang w:val="en-MY" w:bidi="ar-SA"/>
        </w:rPr>
        <w:t>s</w:t>
      </w:r>
      <w:r w:rsidRPr="00B238A8">
        <w:rPr>
          <w:rFonts w:ascii="Times New Roman" w:eastAsia="MS Mincho" w:hAnsi="Times New Roman" w:cs="Arial"/>
          <w:sz w:val="20"/>
          <w:szCs w:val="20"/>
          <w:lang w:bidi="ar-SA"/>
        </w:rPr>
        <w:t xml:space="preserve"> using raw and chemically modified green freshwater algae (</w:t>
      </w:r>
      <w:r w:rsidRPr="00B238A8">
        <w:rPr>
          <w:rFonts w:ascii="Times New Roman" w:eastAsia="MS Mincho" w:hAnsi="Times New Roman" w:cs="Arial"/>
          <w:i/>
          <w:iCs/>
          <w:sz w:val="20"/>
          <w:szCs w:val="20"/>
          <w:lang w:bidi="ar-SA"/>
        </w:rPr>
        <w:t>Scenedesmus Obliquus</w:t>
      </w:r>
      <w:r w:rsidRPr="00B238A8">
        <w:rPr>
          <w:rFonts w:ascii="Times New Roman" w:eastAsia="MS Mincho" w:hAnsi="Times New Roman" w:cs="Arial"/>
          <w:sz w:val="20"/>
          <w:szCs w:val="20"/>
          <w:lang w:bidi="ar-SA"/>
        </w:rPr>
        <w:t xml:space="preserve">) were conducted by </w:t>
      </w:r>
      <w:r w:rsidRPr="00B238A8">
        <w:rPr>
          <w:rFonts w:ascii="Times New Roman" w:eastAsia="MS Mincho" w:hAnsi="Times New Roman" w:cs="Arial"/>
          <w:sz w:val="20"/>
          <w:szCs w:val="20"/>
          <w:lang w:bidi="ar-SA"/>
        </w:rPr>
        <w:fldChar w:fldCharType="begin" w:fldLock="1"/>
      </w:r>
      <w:r w:rsidRPr="00B238A8">
        <w:rPr>
          <w:rFonts w:ascii="Times New Roman" w:eastAsia="MS Mincho" w:hAnsi="Times New Roman" w:cs="Arial"/>
          <w:sz w:val="20"/>
          <w:szCs w:val="20"/>
          <w:lang w:bidi="ar-SA"/>
        </w:rPr>
        <w:instrText>ADDIN CSL_CITATION {"citationItems":[{"id":"ITEM-1","itemData":{"DOI":"10.1080/19443994.2013.856345","ISSN":"19443986","abstract":"Abstract: Biosorption of lead (Pb) from aqueous solution by biomass of green algae, (Scenedesmus obliquus), was investigated as a function of initial solution pH, contact time, and temperature. Additionally, the effect of CaCl2 pretreatment on the Pb uptake capacity of biomass has been investigated. The Langmuir isotherm analysis revealed that the modified biomass (Qmax = 207.2, 1/b = 19. 10) has a great uptake capacity and higher affinity towards the Pb metal than the raw biomass (Qmax = 112.0, 1/b = 56. 91). The absorption process was complied with Freundlich isotherm (R2 = 0.9938 and 0.9629). The Freundlich isotherm analysis showed that the modified biomass (Kf = 78.10, 1/n = 0.6019) has a great uptake capacity and higher affinity toward Pb than the raw biomass (Kf = 22.35, 1/n = 0.7680). The mean biosorption energy calculated from Dubinin–Radushkevich plot (8.84 and 10.44 kJ/mol) suggested chemical biosorption. FTIR spectra indicated the presence of different functional groups, such as amino, carboxyl, hydroxyl, and carbonyl groups, on the cell wall of the S. obliquus biomass. The change in the band intensity and frequency indicate the involvement of these functional groups in Pb binding. Also, the severe decrease in all band intensity indicates that the CaCl2 increases the biosorption capacity of the S. obliquus biomass. The obtained results proved that treatment with CaCl2 has increased the uptake capacity of the S. obliquus biomass and could be used as a potential biosorbent for the removal of Pb from aqueous solutions.","author":[{"dropping-particle":"","family":"Abdel Ghafar","given":"Hany H.","non-dropping-particle":"","parse-names":false,"suffix":""},{"dropping-particle":"","family":"Abdel-Aty","given":"Azza M.","non-dropping-particle":"","parse-names":false,"suffix":""},{"dropping-particle":"","family":"Ammar","given":"Nabila S.","non-dropping-particle":"","parse-names":false,"suffix":""},{"dropping-particle":"","family":"Embaby","given":"Mohamed A.","non-dropping-particle":"","parse-names":false,"suffix":""}],"container-title":"Desalination and Water Treatment","id":"ITEM-1","issue":"40-42","issued":{"date-parts":[["2014"]]},"page":"7906-7914","title":"Lead biosorption from aqueous solution by raw and chemically modified green fresh water algae Scenedesmus obliquus","type":"article-journal","volume":"52"},"uris":["http://www.mendeley.com/documents/?uuid=7fdba1c1-eb5a-4969-9519-04fc1a51ff28"]}],"mendeley":{"formattedCitation":"(Abdel Ghafar et al., 2014)","manualFormatting":"Abdel Ghafar et al. [20]","plainTextFormattedCitation":"(Abdel Ghafar et al., 2014)","previouslyFormattedCitation":"(Abdel Ghafar et al., 2014)"},"properties":{"noteIndex":0},"schema":"https://github.com/citation-style-language/schema/raw/master/csl-citation.json"}</w:instrText>
      </w:r>
      <w:r w:rsidRPr="00B238A8">
        <w:rPr>
          <w:rFonts w:ascii="Times New Roman" w:eastAsia="MS Mincho" w:hAnsi="Times New Roman" w:cs="Arial"/>
          <w:sz w:val="20"/>
          <w:szCs w:val="20"/>
          <w:lang w:bidi="ar-SA"/>
        </w:rPr>
        <w:fldChar w:fldCharType="separate"/>
      </w:r>
      <w:r w:rsidRPr="00B238A8">
        <w:rPr>
          <w:rFonts w:ascii="Times New Roman" w:eastAsia="MS Mincho" w:hAnsi="Times New Roman" w:cs="Arial"/>
          <w:sz w:val="20"/>
          <w:szCs w:val="20"/>
          <w:lang w:bidi="ar-SA"/>
        </w:rPr>
        <w:t>Abdel Ghafar et al. [20]</w:t>
      </w:r>
      <w:r w:rsidRPr="00B238A8">
        <w:rPr>
          <w:rFonts w:ascii="Times New Roman" w:eastAsia="MS Mincho" w:hAnsi="Times New Roman" w:cs="Arial"/>
          <w:sz w:val="20"/>
          <w:szCs w:val="20"/>
          <w:lang w:bidi="ar-SA"/>
        </w:rPr>
        <w:fldChar w:fldCharType="end"/>
      </w:r>
      <w:r w:rsidRPr="00B238A8">
        <w:rPr>
          <w:rFonts w:ascii="Times New Roman" w:eastAsia="MS Mincho" w:hAnsi="Times New Roman" w:cs="Arial"/>
          <w:sz w:val="20"/>
          <w:szCs w:val="20"/>
          <w:lang w:bidi="ar-SA"/>
        </w:rPr>
        <w:t>. The modified biomass was found to have highe</w:t>
      </w:r>
      <w:r w:rsidRPr="00B238A8">
        <w:rPr>
          <w:rFonts w:ascii="Times New Roman" w:eastAsia="MS Mincho" w:hAnsi="Times New Roman" w:cs="Arial"/>
          <w:sz w:val="20"/>
          <w:szCs w:val="20"/>
          <w:lang w:val="en-MY" w:bidi="ar-SA"/>
        </w:rPr>
        <w:t>r</w:t>
      </w:r>
      <w:r w:rsidRPr="00B238A8">
        <w:rPr>
          <w:rFonts w:ascii="Times New Roman" w:eastAsia="MS Mincho" w:hAnsi="Times New Roman" w:cs="Arial"/>
          <w:sz w:val="20"/>
          <w:szCs w:val="20"/>
          <w:lang w:bidi="ar-SA"/>
        </w:rPr>
        <w:t xml:space="preserve"> biosorption capacity (207.2 mg/g) compared to raw biomass (112.0 mg/g). Therefore, algae have prove</w:t>
      </w:r>
      <w:r w:rsidRPr="00B238A8">
        <w:rPr>
          <w:rFonts w:ascii="Times New Roman" w:eastAsia="MS Mincho" w:hAnsi="Times New Roman" w:cs="Arial"/>
          <w:sz w:val="20"/>
          <w:szCs w:val="20"/>
          <w:lang w:val="en-MY" w:bidi="ar-SA"/>
        </w:rPr>
        <w:t>n</w:t>
      </w:r>
      <w:r w:rsidRPr="00B238A8">
        <w:rPr>
          <w:rFonts w:ascii="Times New Roman" w:eastAsia="MS Mincho" w:hAnsi="Times New Roman" w:cs="Arial"/>
          <w:sz w:val="20"/>
          <w:szCs w:val="20"/>
          <w:lang w:bidi="ar-SA"/>
        </w:rPr>
        <w:t xml:space="preserve"> to be a more efficient and promising biosorbent </w:t>
      </w:r>
      <w:r w:rsidRPr="00B238A8">
        <w:rPr>
          <w:rFonts w:ascii="Times New Roman" w:eastAsia="MS Mincho" w:hAnsi="Times New Roman" w:cs="Arial"/>
          <w:sz w:val="20"/>
          <w:szCs w:val="20"/>
          <w:lang w:val="en-MY" w:bidi="ar-SA"/>
        </w:rPr>
        <w:t xml:space="preserve">to use </w:t>
      </w:r>
      <w:r w:rsidRPr="00B238A8">
        <w:rPr>
          <w:rFonts w:ascii="Times New Roman" w:eastAsia="MS Mincho" w:hAnsi="Times New Roman" w:cs="Arial"/>
          <w:sz w:val="20"/>
          <w:szCs w:val="20"/>
          <w:lang w:bidi="ar-SA"/>
        </w:rPr>
        <w:t>for heavy metal removal from wastewater. The biosorption method is comparatively inexpensive</w:t>
      </w:r>
      <w:r w:rsidRPr="00B238A8">
        <w:rPr>
          <w:rFonts w:ascii="Times New Roman" w:eastAsia="MS Mincho" w:hAnsi="Times New Roman" w:cs="Arial"/>
          <w:sz w:val="20"/>
          <w:szCs w:val="20"/>
          <w:lang w:val="en-MY" w:bidi="ar-SA"/>
        </w:rPr>
        <w:t xml:space="preserve"> and it offers</w:t>
      </w:r>
      <w:r w:rsidRPr="00B238A8">
        <w:rPr>
          <w:rFonts w:ascii="Times New Roman" w:eastAsia="MS Mincho" w:hAnsi="Times New Roman" w:cs="Arial"/>
          <w:sz w:val="20"/>
          <w:szCs w:val="20"/>
          <w:lang w:bidi="ar-SA"/>
        </w:rPr>
        <w:t xml:space="preserve"> elevated efficiency </w:t>
      </w:r>
      <w:r w:rsidRPr="00B238A8">
        <w:rPr>
          <w:rFonts w:ascii="Times New Roman" w:eastAsia="MS Mincho" w:hAnsi="Times New Roman" w:cs="Arial"/>
          <w:sz w:val="20"/>
          <w:szCs w:val="20"/>
          <w:lang w:val="en-MY" w:bidi="ar-SA"/>
        </w:rPr>
        <w:t>in terms of</w:t>
      </w:r>
      <w:r w:rsidRPr="00B238A8">
        <w:rPr>
          <w:rFonts w:ascii="Times New Roman" w:eastAsia="MS Mincho" w:hAnsi="Times New Roman" w:cs="Arial"/>
          <w:sz w:val="20"/>
          <w:szCs w:val="20"/>
          <w:lang w:bidi="ar-SA"/>
        </w:rPr>
        <w:t xml:space="preserve"> metal remova</w:t>
      </w:r>
      <w:r w:rsidRPr="00B238A8">
        <w:rPr>
          <w:rFonts w:ascii="Times New Roman" w:eastAsia="MS Mincho" w:hAnsi="Times New Roman" w:cs="Arial"/>
          <w:sz w:val="20"/>
          <w:szCs w:val="20"/>
          <w:lang w:val="en-MY" w:bidi="ar-SA"/>
        </w:rPr>
        <w:t>l, as well as</w:t>
      </w:r>
      <w:r w:rsidRPr="00B238A8">
        <w:rPr>
          <w:rFonts w:ascii="Times New Roman" w:eastAsia="MS Mincho" w:hAnsi="Times New Roman" w:cs="Arial"/>
          <w:sz w:val="20"/>
          <w:szCs w:val="20"/>
          <w:lang w:bidi="ar-SA"/>
        </w:rPr>
        <w:t xml:space="preserve"> minimum chemical and/or biological sludge production, among others [21]. </w:t>
      </w:r>
    </w:p>
    <w:p w14:paraId="6E4E1FE1" w14:textId="77777777" w:rsidR="00F87302" w:rsidRPr="00B238A8" w:rsidRDefault="00F87302" w:rsidP="00F87302">
      <w:pPr>
        <w:spacing w:after="0"/>
        <w:jc w:val="both"/>
        <w:rPr>
          <w:rFonts w:ascii="Times New Roman" w:eastAsia="MS Mincho" w:hAnsi="Times New Roman" w:cs="Arial"/>
          <w:sz w:val="20"/>
          <w:szCs w:val="20"/>
          <w:lang w:bidi="ar-SA"/>
        </w:rPr>
      </w:pPr>
    </w:p>
    <w:p w14:paraId="4629ED27" w14:textId="35EA385C" w:rsidR="00F87302" w:rsidRDefault="00F87302" w:rsidP="00F87302">
      <w:pPr>
        <w:spacing w:after="0"/>
        <w:jc w:val="both"/>
        <w:rPr>
          <w:rFonts w:ascii="Times New Roman" w:eastAsia="MS Mincho" w:hAnsi="Times New Roman" w:cs="Arial"/>
          <w:sz w:val="20"/>
          <w:szCs w:val="20"/>
          <w:lang w:val="en-MY" w:bidi="ar-SA"/>
        </w:rPr>
      </w:pPr>
      <w:r w:rsidRPr="00B238A8">
        <w:rPr>
          <w:rFonts w:ascii="Times New Roman" w:eastAsia="MS Mincho" w:hAnsi="Times New Roman" w:cs="Arial"/>
          <w:sz w:val="20"/>
          <w:szCs w:val="20"/>
          <w:lang w:bidi="ar-SA"/>
        </w:rPr>
        <w:t>Algae biosorbent materials are gaining significant</w:t>
      </w:r>
      <w:r w:rsidRPr="00B238A8">
        <w:rPr>
          <w:rFonts w:ascii="Times New Roman" w:eastAsia="MS Mincho" w:hAnsi="Times New Roman" w:cs="Arial"/>
          <w:sz w:val="20"/>
          <w:szCs w:val="20"/>
          <w:lang w:val="en-MY" w:bidi="ar-SA"/>
        </w:rPr>
        <w:t xml:space="preserve"> </w:t>
      </w:r>
      <w:r w:rsidRPr="00B238A8">
        <w:rPr>
          <w:rFonts w:ascii="Times New Roman" w:eastAsia="MS Mincho" w:hAnsi="Times New Roman" w:cs="Arial"/>
          <w:sz w:val="20"/>
          <w:szCs w:val="20"/>
          <w:lang w:bidi="ar-SA"/>
        </w:rPr>
        <w:t xml:space="preserve">attention due to their abundance in the oceanic environment, relative easiness to process, and high accumulated ability of metal content. Algal-like seaweed is sufficient to facilitate a complex solid-liquid separation process, thus making seaweed </w:t>
      </w:r>
      <w:r w:rsidRPr="00B238A8">
        <w:rPr>
          <w:rFonts w:ascii="Times New Roman" w:eastAsia="MS Mincho" w:hAnsi="Times New Roman" w:cs="Arial"/>
          <w:sz w:val="20"/>
          <w:szCs w:val="20"/>
          <w:lang w:val="en-MY" w:bidi="ar-SA"/>
        </w:rPr>
        <w:t xml:space="preserve">a </w:t>
      </w:r>
      <w:r w:rsidRPr="00B238A8">
        <w:rPr>
          <w:rFonts w:ascii="Times New Roman" w:eastAsia="MS Mincho" w:hAnsi="Times New Roman" w:cs="Arial"/>
          <w:sz w:val="20"/>
          <w:szCs w:val="20"/>
          <w:lang w:bidi="ar-SA"/>
        </w:rPr>
        <w:t xml:space="preserve">suitable </w:t>
      </w:r>
      <w:r w:rsidRPr="00B238A8">
        <w:rPr>
          <w:rFonts w:ascii="Times New Roman" w:eastAsia="MS Mincho" w:hAnsi="Times New Roman" w:cs="Arial"/>
          <w:sz w:val="20"/>
          <w:szCs w:val="20"/>
          <w:lang w:val="en-MY" w:bidi="ar-SA"/>
        </w:rPr>
        <w:t xml:space="preserve">form of </w:t>
      </w:r>
      <w:r w:rsidRPr="00B238A8">
        <w:rPr>
          <w:rFonts w:ascii="Times New Roman" w:eastAsia="MS Mincho" w:hAnsi="Times New Roman" w:cs="Arial"/>
          <w:sz w:val="20"/>
          <w:szCs w:val="20"/>
          <w:lang w:bidi="ar-SA"/>
        </w:rPr>
        <w:t>biomass for heavy metal biosor</w:t>
      </w:r>
      <w:r w:rsidRPr="00B238A8">
        <w:rPr>
          <w:rFonts w:ascii="Times New Roman" w:eastAsia="MS Mincho" w:hAnsi="Times New Roman" w:cs="Arial"/>
          <w:sz w:val="20"/>
          <w:szCs w:val="20"/>
          <w:lang w:val="en-MY" w:bidi="ar-SA"/>
        </w:rPr>
        <w:t>p</w:t>
      </w:r>
      <w:r w:rsidRPr="00B238A8">
        <w:rPr>
          <w:rFonts w:ascii="Times New Roman" w:eastAsia="MS Mincho" w:hAnsi="Times New Roman" w:cs="Arial"/>
          <w:sz w:val="20"/>
          <w:szCs w:val="20"/>
          <w:lang w:bidi="ar-SA"/>
        </w:rPr>
        <w:t xml:space="preserve">tion in the marine environment [22]. Seaweeds are marine algae found in coastal areas. The red algae </w:t>
      </w:r>
      <w:r w:rsidRPr="00B238A8">
        <w:rPr>
          <w:rFonts w:ascii="Times New Roman" w:eastAsia="MS Mincho" w:hAnsi="Times New Roman" w:cs="Arial"/>
          <w:i/>
          <w:sz w:val="20"/>
          <w:szCs w:val="20"/>
          <w:lang w:bidi="ar-SA"/>
        </w:rPr>
        <w:t>Eucheuma cottonii</w:t>
      </w:r>
      <w:r w:rsidRPr="00B238A8">
        <w:rPr>
          <w:rFonts w:ascii="Times New Roman" w:eastAsia="MS Mincho" w:hAnsi="Times New Roman" w:cs="Arial"/>
          <w:sz w:val="20"/>
          <w:szCs w:val="20"/>
          <w:lang w:bidi="ar-SA"/>
        </w:rPr>
        <w:t xml:space="preserve"> and </w:t>
      </w:r>
      <w:r w:rsidRPr="00B238A8">
        <w:rPr>
          <w:rFonts w:ascii="Times New Roman" w:eastAsia="MS Mincho" w:hAnsi="Times New Roman" w:cs="Arial"/>
          <w:i/>
          <w:sz w:val="20"/>
          <w:szCs w:val="20"/>
          <w:lang w:bidi="ar-SA"/>
        </w:rPr>
        <w:lastRenderedPageBreak/>
        <w:t>Eucheuma denticulatum</w:t>
      </w:r>
      <w:r w:rsidRPr="00B238A8">
        <w:rPr>
          <w:rFonts w:ascii="Times New Roman" w:eastAsia="MS Mincho" w:hAnsi="Times New Roman" w:cs="Arial"/>
          <w:sz w:val="20"/>
          <w:szCs w:val="20"/>
          <w:lang w:bidi="ar-SA"/>
        </w:rPr>
        <w:t xml:space="preserve"> are grown in eastern Africa's tropical coastal regions [23, 24]. The seaweed industry in Tanzania employs more than 30,000 people [25]. </w:t>
      </w:r>
      <w:r w:rsidRPr="00B238A8">
        <w:rPr>
          <w:rFonts w:ascii="Times New Roman" w:eastAsia="MS Mincho" w:hAnsi="Times New Roman" w:cs="Arial"/>
          <w:sz w:val="20"/>
          <w:szCs w:val="20"/>
          <w:lang w:val="en-MY" w:bidi="ar-SA"/>
        </w:rPr>
        <w:t>Approximately</w:t>
      </w:r>
      <w:r w:rsidRPr="00B238A8">
        <w:rPr>
          <w:rFonts w:ascii="Times New Roman" w:eastAsia="MS Mincho" w:hAnsi="Times New Roman" w:cs="Arial"/>
          <w:sz w:val="20"/>
          <w:szCs w:val="20"/>
          <w:lang w:bidi="ar-SA"/>
        </w:rPr>
        <w:t xml:space="preserve"> 5,000 tons</w:t>
      </w:r>
      <w:r w:rsidRPr="00B238A8">
        <w:rPr>
          <w:rFonts w:ascii="Times New Roman" w:eastAsia="MS Mincho" w:hAnsi="Times New Roman" w:cs="Arial"/>
          <w:sz w:val="20"/>
          <w:szCs w:val="20"/>
          <w:lang w:val="en-MY" w:bidi="ar-SA"/>
        </w:rPr>
        <w:t xml:space="preserve"> of </w:t>
      </w:r>
      <w:r w:rsidRPr="00B238A8">
        <w:rPr>
          <w:rFonts w:ascii="Times New Roman" w:eastAsia="MS Mincho" w:hAnsi="Times New Roman" w:cs="Arial"/>
          <w:sz w:val="20"/>
          <w:szCs w:val="20"/>
          <w:lang w:bidi="ar-SA"/>
        </w:rPr>
        <w:t xml:space="preserve">dry seaweed </w:t>
      </w:r>
      <w:r w:rsidRPr="00B238A8">
        <w:rPr>
          <w:rFonts w:ascii="Times New Roman" w:eastAsia="MS Mincho" w:hAnsi="Times New Roman" w:cs="Arial"/>
          <w:sz w:val="20"/>
          <w:szCs w:val="20"/>
          <w:lang w:val="en-MY" w:bidi="ar-SA"/>
        </w:rPr>
        <w:t xml:space="preserve">are exported annually </w:t>
      </w:r>
      <w:r w:rsidRPr="00B238A8">
        <w:rPr>
          <w:rFonts w:ascii="Times New Roman" w:eastAsia="MS Mincho" w:hAnsi="Times New Roman" w:cs="Arial"/>
          <w:sz w:val="20"/>
          <w:szCs w:val="20"/>
          <w:lang w:bidi="ar-SA"/>
        </w:rPr>
        <w:t xml:space="preserve">from Tanzania [25]. The high production of seaweed in Tanzania has motivated </w:t>
      </w:r>
      <w:r w:rsidRPr="00B238A8">
        <w:rPr>
          <w:rFonts w:ascii="Times New Roman" w:eastAsia="MS Mincho" w:hAnsi="Times New Roman" w:cs="Arial"/>
          <w:sz w:val="20"/>
          <w:szCs w:val="20"/>
          <w:lang w:val="en-MY" w:bidi="ar-SA"/>
        </w:rPr>
        <w:t>the authors</w:t>
      </w:r>
      <w:r w:rsidRPr="00B238A8">
        <w:rPr>
          <w:rFonts w:ascii="Times New Roman" w:eastAsia="MS Mincho" w:hAnsi="Times New Roman" w:cs="Arial"/>
          <w:sz w:val="20"/>
          <w:szCs w:val="20"/>
          <w:lang w:bidi="ar-SA"/>
        </w:rPr>
        <w:t xml:space="preserve"> to propose th</w:t>
      </w:r>
      <w:r w:rsidRPr="00B238A8">
        <w:rPr>
          <w:rFonts w:ascii="Times New Roman" w:eastAsia="MS Mincho" w:hAnsi="Times New Roman" w:cs="Arial"/>
          <w:sz w:val="20"/>
          <w:szCs w:val="20"/>
          <w:lang w:val="en-MY" w:bidi="ar-SA"/>
        </w:rPr>
        <w:t>is substance</w:t>
      </w:r>
      <w:r w:rsidRPr="00B238A8">
        <w:rPr>
          <w:rFonts w:ascii="Times New Roman" w:eastAsia="MS Mincho" w:hAnsi="Times New Roman" w:cs="Arial"/>
          <w:sz w:val="20"/>
          <w:szCs w:val="20"/>
          <w:lang w:bidi="ar-SA"/>
        </w:rPr>
        <w:t xml:space="preserve"> as </w:t>
      </w:r>
      <w:r w:rsidRPr="00B238A8">
        <w:rPr>
          <w:rFonts w:ascii="Times New Roman" w:eastAsia="MS Mincho" w:hAnsi="Times New Roman" w:cs="Arial"/>
          <w:sz w:val="20"/>
          <w:szCs w:val="20"/>
          <w:lang w:val="en-MY" w:bidi="ar-SA"/>
        </w:rPr>
        <w:t xml:space="preserve">a </w:t>
      </w:r>
      <w:r w:rsidRPr="00B238A8">
        <w:rPr>
          <w:rFonts w:ascii="Times New Roman" w:eastAsia="MS Mincho" w:hAnsi="Times New Roman" w:cs="Arial"/>
          <w:sz w:val="20"/>
          <w:szCs w:val="20"/>
          <w:lang w:bidi="ar-SA"/>
        </w:rPr>
        <w:t>potential biosorption material</w:t>
      </w:r>
      <w:r w:rsidRPr="00B238A8">
        <w:rPr>
          <w:rFonts w:ascii="Times New Roman" w:eastAsia="MS Mincho" w:hAnsi="Times New Roman" w:cs="Arial"/>
          <w:sz w:val="20"/>
          <w:szCs w:val="20"/>
          <w:lang w:val="en-MY" w:bidi="ar-SA"/>
        </w:rPr>
        <w:t>.</w:t>
      </w:r>
    </w:p>
    <w:p w14:paraId="7580DF89" w14:textId="77777777" w:rsidR="00F7298E" w:rsidRPr="00B238A8" w:rsidRDefault="00F7298E" w:rsidP="00F87302">
      <w:pPr>
        <w:spacing w:after="0"/>
        <w:jc w:val="both"/>
        <w:rPr>
          <w:rFonts w:ascii="Times New Roman" w:eastAsia="MS Mincho" w:hAnsi="Times New Roman" w:cs="Arial"/>
          <w:sz w:val="20"/>
          <w:szCs w:val="20"/>
          <w:lang w:bidi="ar-SA"/>
        </w:rPr>
      </w:pPr>
    </w:p>
    <w:p w14:paraId="517BD918" w14:textId="2925785A" w:rsidR="00F87302" w:rsidRDefault="00F87302" w:rsidP="00F87302">
      <w:pPr>
        <w:spacing w:after="0"/>
        <w:jc w:val="both"/>
        <w:rPr>
          <w:rFonts w:ascii="Times New Roman" w:eastAsia="MS Mincho" w:hAnsi="Times New Roman" w:cs="Arial"/>
          <w:sz w:val="20"/>
          <w:szCs w:val="20"/>
          <w:lang w:bidi="ar-SA"/>
        </w:rPr>
      </w:pPr>
      <w:r w:rsidRPr="00B238A8">
        <w:rPr>
          <w:rFonts w:ascii="Times New Roman" w:eastAsia="MS Mincho" w:hAnsi="Times New Roman" w:cs="Arial"/>
          <w:sz w:val="20"/>
          <w:szCs w:val="20"/>
          <w:lang w:bidi="ar-SA"/>
        </w:rPr>
        <w:t xml:space="preserve">Heavy metal pollution has recently </w:t>
      </w:r>
      <w:r w:rsidRPr="00B238A8">
        <w:rPr>
          <w:rFonts w:ascii="Times New Roman" w:eastAsia="MS Mincho" w:hAnsi="Times New Roman" w:cs="Arial"/>
          <w:sz w:val="20"/>
          <w:szCs w:val="20"/>
          <w:lang w:val="en-MY" w:bidi="ar-SA"/>
        </w:rPr>
        <w:t xml:space="preserve">gained </w:t>
      </w:r>
      <w:r w:rsidRPr="00B238A8">
        <w:rPr>
          <w:rFonts w:ascii="Times New Roman" w:eastAsia="MS Mincho" w:hAnsi="Times New Roman" w:cs="Arial"/>
          <w:sz w:val="20"/>
          <w:szCs w:val="20"/>
          <w:lang w:bidi="ar-SA"/>
        </w:rPr>
        <w:t>scientific attention due to its ubiquit</w:t>
      </w:r>
      <w:r w:rsidRPr="00B238A8">
        <w:rPr>
          <w:rFonts w:ascii="Times New Roman" w:eastAsia="MS Mincho" w:hAnsi="Times New Roman" w:cs="Arial"/>
          <w:sz w:val="20"/>
          <w:szCs w:val="20"/>
          <w:lang w:val="en-MY" w:bidi="ar-SA"/>
        </w:rPr>
        <w:t>y in</w:t>
      </w:r>
      <w:r w:rsidRPr="00B238A8">
        <w:rPr>
          <w:rFonts w:ascii="Times New Roman" w:eastAsia="MS Mincho" w:hAnsi="Times New Roman" w:cs="Arial"/>
          <w:sz w:val="20"/>
          <w:szCs w:val="20"/>
          <w:lang w:bidi="ar-SA"/>
        </w:rPr>
        <w:t xml:space="preserve"> marine and coastal ecosystems [26]. </w:t>
      </w:r>
      <w:r w:rsidRPr="00B238A8">
        <w:rPr>
          <w:rFonts w:ascii="Times New Roman" w:eastAsia="MS Mincho" w:hAnsi="Times New Roman" w:cs="Arial"/>
          <w:sz w:val="20"/>
          <w:szCs w:val="20"/>
          <w:lang w:val="en-MY" w:bidi="ar-SA"/>
        </w:rPr>
        <w:t>H</w:t>
      </w:r>
      <w:r w:rsidRPr="00B238A8">
        <w:rPr>
          <w:rFonts w:ascii="Times New Roman" w:eastAsia="MS Mincho" w:hAnsi="Times New Roman" w:cs="Arial"/>
          <w:sz w:val="20"/>
          <w:szCs w:val="20"/>
          <w:lang w:bidi="ar-SA"/>
        </w:rPr>
        <w:t>eavy metals</w:t>
      </w:r>
      <w:r w:rsidRPr="00B238A8">
        <w:rPr>
          <w:rFonts w:ascii="Times New Roman" w:eastAsia="MS Mincho" w:hAnsi="Times New Roman" w:cs="Arial"/>
          <w:sz w:val="20"/>
          <w:szCs w:val="20"/>
          <w:lang w:val="en-MY" w:bidi="ar-SA"/>
        </w:rPr>
        <w:t>’</w:t>
      </w:r>
      <w:r w:rsidRPr="00B238A8">
        <w:rPr>
          <w:rFonts w:ascii="Times New Roman" w:eastAsia="MS Mincho" w:hAnsi="Times New Roman" w:cs="Arial"/>
          <w:sz w:val="20"/>
          <w:szCs w:val="20"/>
          <w:lang w:bidi="ar-SA"/>
        </w:rPr>
        <w:t xml:space="preserve"> pathways into the human body are through food, water, and air. They are absorbed through the skin or </w:t>
      </w:r>
      <w:r w:rsidRPr="00B238A8">
        <w:rPr>
          <w:rFonts w:ascii="Times New Roman" w:eastAsia="MS Mincho" w:hAnsi="Times New Roman" w:cs="Arial"/>
          <w:sz w:val="20"/>
          <w:szCs w:val="20"/>
          <w:lang w:val="en-MY" w:bidi="ar-SA"/>
        </w:rPr>
        <w:t xml:space="preserve">by </w:t>
      </w:r>
      <w:r w:rsidRPr="00B238A8">
        <w:rPr>
          <w:rFonts w:ascii="Times New Roman" w:eastAsia="MS Mincho" w:hAnsi="Times New Roman" w:cs="Arial"/>
          <w:sz w:val="20"/>
          <w:szCs w:val="20"/>
          <w:lang w:bidi="ar-SA"/>
        </w:rPr>
        <w:t>exposure from various agricultur</w:t>
      </w:r>
      <w:r w:rsidRPr="00B238A8">
        <w:rPr>
          <w:rFonts w:ascii="Times New Roman" w:eastAsia="MS Mincho" w:hAnsi="Times New Roman" w:cs="Arial"/>
          <w:sz w:val="20"/>
          <w:szCs w:val="20"/>
          <w:lang w:val="en-MY" w:bidi="ar-SA"/>
        </w:rPr>
        <w:t xml:space="preserve">al, </w:t>
      </w:r>
      <w:r w:rsidRPr="00B238A8">
        <w:rPr>
          <w:rFonts w:ascii="Times New Roman" w:eastAsia="MS Mincho" w:hAnsi="Times New Roman" w:cs="Arial"/>
          <w:sz w:val="20"/>
          <w:szCs w:val="20"/>
          <w:lang w:bidi="ar-SA"/>
        </w:rPr>
        <w:t>manufacturing, pharmaceutical, and urban</w:t>
      </w:r>
      <w:r w:rsidRPr="00B238A8">
        <w:rPr>
          <w:rFonts w:ascii="Times New Roman" w:eastAsia="MS Mincho" w:hAnsi="Times New Roman" w:cs="Arial"/>
          <w:sz w:val="20"/>
          <w:szCs w:val="20"/>
          <w:lang w:val="en-MY" w:bidi="ar-SA"/>
        </w:rPr>
        <w:t>is</w:t>
      </w:r>
      <w:r w:rsidRPr="00B238A8">
        <w:rPr>
          <w:rFonts w:ascii="Times New Roman" w:eastAsia="MS Mincho" w:hAnsi="Times New Roman" w:cs="Arial"/>
          <w:sz w:val="20"/>
          <w:szCs w:val="20"/>
          <w:lang w:bidi="ar-SA"/>
        </w:rPr>
        <w:t xml:space="preserve">ation activities. Lead (Pb) is among the heavy metals proving </w:t>
      </w:r>
      <w:r w:rsidRPr="00B238A8">
        <w:rPr>
          <w:rFonts w:ascii="Times New Roman" w:eastAsia="MS Mincho" w:hAnsi="Times New Roman" w:cs="Arial"/>
          <w:sz w:val="20"/>
          <w:szCs w:val="20"/>
          <w:lang w:val="en-MY" w:bidi="ar-SA"/>
        </w:rPr>
        <w:t>to be</w:t>
      </w:r>
      <w:r w:rsidRPr="00B238A8">
        <w:rPr>
          <w:rFonts w:ascii="Times New Roman" w:eastAsia="MS Mincho" w:hAnsi="Times New Roman" w:cs="Arial"/>
          <w:sz w:val="20"/>
          <w:szCs w:val="20"/>
          <w:lang w:bidi="ar-SA"/>
        </w:rPr>
        <w:t xml:space="preserve"> the </w:t>
      </w:r>
      <w:r w:rsidRPr="00B238A8">
        <w:rPr>
          <w:rFonts w:ascii="Times New Roman" w:eastAsia="MS Mincho" w:hAnsi="Times New Roman" w:cs="Arial"/>
          <w:sz w:val="20"/>
          <w:szCs w:val="20"/>
          <w:lang w:val="en-MY" w:bidi="ar-SA"/>
        </w:rPr>
        <w:t xml:space="preserve">most </w:t>
      </w:r>
      <w:r w:rsidRPr="00B238A8">
        <w:rPr>
          <w:rFonts w:ascii="Times New Roman" w:eastAsia="MS Mincho" w:hAnsi="Times New Roman" w:cs="Arial"/>
          <w:sz w:val="20"/>
          <w:szCs w:val="20"/>
          <w:lang w:bidi="ar-SA"/>
        </w:rPr>
        <w:t>serious toxic contaminant in Tanzania [27, 28, 29].</w:t>
      </w:r>
    </w:p>
    <w:p w14:paraId="1D86DA02" w14:textId="77777777" w:rsidR="00F87302" w:rsidRPr="00B238A8" w:rsidRDefault="00F87302" w:rsidP="00F87302">
      <w:pPr>
        <w:spacing w:after="0"/>
        <w:jc w:val="both"/>
        <w:rPr>
          <w:rFonts w:ascii="Times New Roman" w:eastAsia="MS Mincho" w:hAnsi="Times New Roman" w:cs="Arial"/>
          <w:sz w:val="20"/>
          <w:szCs w:val="20"/>
          <w:lang w:bidi="ar-SA"/>
        </w:rPr>
      </w:pPr>
    </w:p>
    <w:p w14:paraId="536814B8" w14:textId="54B4B935" w:rsidR="00F87302" w:rsidRDefault="00F87302" w:rsidP="00F87302">
      <w:pPr>
        <w:spacing w:after="0"/>
        <w:jc w:val="both"/>
        <w:rPr>
          <w:rFonts w:ascii="Times New Roman" w:eastAsia="MS Mincho" w:hAnsi="Times New Roman" w:cs="Arial"/>
          <w:sz w:val="20"/>
          <w:szCs w:val="20"/>
          <w:lang w:bidi="ar-SA"/>
        </w:rPr>
      </w:pPr>
      <w:r w:rsidRPr="00B238A8">
        <w:rPr>
          <w:rFonts w:ascii="Times New Roman" w:eastAsia="MS Mincho" w:hAnsi="Times New Roman" w:cs="Arial"/>
          <w:sz w:val="20"/>
          <w:szCs w:val="20"/>
          <w:lang w:bidi="ar-SA"/>
        </w:rPr>
        <w:t xml:space="preserve">Previous studies have demonstrated the high metal-binding abilities of brown and green seaweeds [30, 31, 32]. </w:t>
      </w:r>
      <w:r w:rsidRPr="00B238A8">
        <w:rPr>
          <w:rFonts w:ascii="Times New Roman" w:eastAsia="MS Mincho" w:hAnsi="Times New Roman" w:cs="Arial"/>
          <w:sz w:val="20"/>
          <w:szCs w:val="20"/>
          <w:lang w:val="en-MY" w:bidi="ar-SA"/>
        </w:rPr>
        <w:t>However</w:t>
      </w:r>
      <w:r w:rsidRPr="00B238A8">
        <w:rPr>
          <w:rFonts w:ascii="Times New Roman" w:eastAsia="MS Mincho" w:hAnsi="Times New Roman" w:cs="Arial"/>
          <w:sz w:val="20"/>
          <w:szCs w:val="20"/>
          <w:lang w:bidi="ar-SA"/>
        </w:rPr>
        <w:t>, there is a lack of data on the heavy metal biosorption by red seaweed species (</w:t>
      </w:r>
      <w:r w:rsidRPr="00B238A8">
        <w:rPr>
          <w:rFonts w:ascii="Times New Roman" w:eastAsia="MS Mincho" w:hAnsi="Times New Roman"/>
          <w:bCs/>
          <w:i/>
          <w:sz w:val="20"/>
          <w:szCs w:val="20"/>
          <w:lang w:bidi="ar-SA"/>
        </w:rPr>
        <w:t>E. denticulatum</w:t>
      </w:r>
      <w:r w:rsidRPr="00B238A8">
        <w:rPr>
          <w:rFonts w:ascii="Times New Roman" w:eastAsia="MS Mincho" w:hAnsi="Times New Roman" w:cs="Arial"/>
          <w:sz w:val="20"/>
          <w:szCs w:val="20"/>
          <w:lang w:bidi="ar-SA"/>
        </w:rPr>
        <w:t>) in Tanzania. Therefore, this study discusses the biosorption beha</w:t>
      </w:r>
      <w:r w:rsidRPr="00B238A8">
        <w:rPr>
          <w:rFonts w:ascii="Times New Roman" w:eastAsia="MS Mincho" w:hAnsi="Times New Roman" w:cs="Arial"/>
          <w:sz w:val="20"/>
          <w:szCs w:val="20"/>
          <w:lang w:val="en-MY" w:bidi="ar-SA"/>
        </w:rPr>
        <w:t>viour</w:t>
      </w:r>
      <w:r w:rsidRPr="00B238A8">
        <w:rPr>
          <w:rFonts w:ascii="Times New Roman" w:eastAsia="MS Mincho" w:hAnsi="Times New Roman" w:cs="Arial"/>
          <w:sz w:val="20"/>
          <w:szCs w:val="20"/>
          <w:lang w:bidi="ar-SA"/>
        </w:rPr>
        <w:t xml:space="preserve"> of P</w:t>
      </w:r>
      <w:r w:rsidRPr="00B238A8">
        <w:rPr>
          <w:rFonts w:ascii="Times New Roman" w:eastAsia="MS Mincho" w:hAnsi="Times New Roman"/>
          <w:sz w:val="20"/>
          <w:szCs w:val="20"/>
          <w:lang w:bidi="ar-SA"/>
        </w:rPr>
        <w:t>b</w:t>
      </w:r>
      <w:r w:rsidRPr="00B238A8">
        <w:rPr>
          <w:rFonts w:ascii="Times New Roman" w:eastAsia="MS Mincho" w:hAnsi="Times New Roman"/>
          <w:bCs/>
          <w:sz w:val="20"/>
          <w:szCs w:val="20"/>
          <w:lang w:bidi="ar-SA"/>
        </w:rPr>
        <w:t xml:space="preserve">(II) solution onto </w:t>
      </w:r>
      <w:r w:rsidRPr="00B238A8">
        <w:rPr>
          <w:rFonts w:ascii="Times New Roman" w:eastAsia="MS Mincho" w:hAnsi="Times New Roman"/>
          <w:bCs/>
          <w:i/>
          <w:sz w:val="20"/>
          <w:szCs w:val="20"/>
          <w:lang w:bidi="ar-SA"/>
        </w:rPr>
        <w:t>E. denticulatum</w:t>
      </w:r>
      <w:r w:rsidRPr="00B238A8">
        <w:rPr>
          <w:rFonts w:ascii="Times New Roman" w:eastAsia="MS Mincho" w:hAnsi="Times New Roman"/>
          <w:sz w:val="20"/>
          <w:szCs w:val="20"/>
          <w:lang w:bidi="ar-SA"/>
        </w:rPr>
        <w:t>.</w:t>
      </w:r>
      <w:r w:rsidRPr="00B238A8">
        <w:rPr>
          <w:rFonts w:ascii="Times New Roman" w:eastAsia="MS Mincho" w:hAnsi="Times New Roman" w:cs="Arial"/>
          <w:sz w:val="20"/>
          <w:szCs w:val="20"/>
          <w:lang w:bidi="ar-SA"/>
        </w:rPr>
        <w:t xml:space="preserve"> The finding</w:t>
      </w:r>
      <w:r w:rsidRPr="00B238A8">
        <w:rPr>
          <w:rFonts w:ascii="Times New Roman" w:eastAsia="MS Mincho" w:hAnsi="Times New Roman" w:cs="Arial"/>
          <w:sz w:val="20"/>
          <w:szCs w:val="20"/>
          <w:lang w:val="en-MY" w:bidi="ar-SA"/>
        </w:rPr>
        <w:t>s</w:t>
      </w:r>
      <w:r w:rsidRPr="00B238A8">
        <w:rPr>
          <w:rFonts w:ascii="Times New Roman" w:eastAsia="MS Mincho" w:hAnsi="Times New Roman" w:cs="Arial"/>
          <w:sz w:val="20"/>
          <w:szCs w:val="20"/>
          <w:lang w:bidi="ar-SA"/>
        </w:rPr>
        <w:t xml:space="preserve"> from this study on </w:t>
      </w:r>
      <w:r w:rsidRPr="00B238A8">
        <w:rPr>
          <w:rFonts w:ascii="Times New Roman" w:eastAsia="MS Mincho" w:hAnsi="Times New Roman" w:cs="Arial"/>
          <w:i/>
          <w:sz w:val="20"/>
          <w:szCs w:val="20"/>
          <w:lang w:bidi="ar-SA"/>
        </w:rPr>
        <w:t>E. denticulatum</w:t>
      </w:r>
      <w:r w:rsidRPr="00B238A8">
        <w:rPr>
          <w:rFonts w:ascii="Times New Roman" w:eastAsia="MS Mincho" w:hAnsi="Times New Roman" w:cs="Arial"/>
          <w:sz w:val="20"/>
          <w:szCs w:val="20"/>
          <w:lang w:bidi="ar-SA"/>
        </w:rPr>
        <w:t xml:space="preserve"> as </w:t>
      </w:r>
      <w:r w:rsidRPr="00B238A8">
        <w:rPr>
          <w:rFonts w:ascii="Times New Roman" w:eastAsia="MS Mincho" w:hAnsi="Times New Roman" w:cs="Arial"/>
          <w:sz w:val="20"/>
          <w:szCs w:val="20"/>
          <w:lang w:val="en-MY" w:bidi="ar-SA"/>
        </w:rPr>
        <w:t xml:space="preserve">a </w:t>
      </w:r>
      <w:r w:rsidRPr="00B238A8">
        <w:rPr>
          <w:rFonts w:ascii="Times New Roman" w:eastAsia="MS Mincho" w:hAnsi="Times New Roman" w:cs="Arial"/>
          <w:sz w:val="20"/>
          <w:szCs w:val="20"/>
          <w:lang w:bidi="ar-SA"/>
        </w:rPr>
        <w:t>potential biosorption material of toxic metals ha</w:t>
      </w:r>
      <w:r w:rsidRPr="00B238A8">
        <w:rPr>
          <w:rFonts w:ascii="Times New Roman" w:eastAsia="MS Mincho" w:hAnsi="Times New Roman" w:cs="Arial"/>
          <w:sz w:val="20"/>
          <w:szCs w:val="20"/>
          <w:lang w:val="en-MY" w:bidi="ar-SA"/>
        </w:rPr>
        <w:t>ve</w:t>
      </w:r>
      <w:r w:rsidRPr="00B238A8">
        <w:rPr>
          <w:rFonts w:ascii="Times New Roman" w:eastAsia="MS Mincho" w:hAnsi="Times New Roman" w:cs="Arial"/>
          <w:sz w:val="20"/>
          <w:szCs w:val="20"/>
          <w:lang w:bidi="ar-SA"/>
        </w:rPr>
        <w:t xml:space="preserve"> </w:t>
      </w:r>
      <w:r w:rsidRPr="00B238A8">
        <w:rPr>
          <w:rFonts w:ascii="Times New Roman" w:eastAsia="MS Mincho" w:hAnsi="Times New Roman" w:cs="Arial"/>
          <w:sz w:val="20"/>
          <w:szCs w:val="20"/>
          <w:lang w:val="en-MY" w:bidi="ar-SA"/>
        </w:rPr>
        <w:t xml:space="preserve">extensive </w:t>
      </w:r>
      <w:r w:rsidRPr="00B238A8">
        <w:rPr>
          <w:rFonts w:ascii="Times New Roman" w:eastAsia="MS Mincho" w:hAnsi="Times New Roman" w:cs="Arial"/>
          <w:sz w:val="20"/>
          <w:szCs w:val="20"/>
          <w:lang w:bidi="ar-SA"/>
        </w:rPr>
        <w:t xml:space="preserve">consequences for the economy and health of farmers engaged </w:t>
      </w:r>
      <w:r w:rsidRPr="00B238A8">
        <w:rPr>
          <w:rFonts w:ascii="Times New Roman" w:eastAsia="MS Mincho" w:hAnsi="Times New Roman" w:cs="Arial"/>
          <w:sz w:val="20"/>
          <w:szCs w:val="20"/>
          <w:lang w:val="en-MY" w:bidi="ar-SA"/>
        </w:rPr>
        <w:t xml:space="preserve">in </w:t>
      </w:r>
      <w:r w:rsidRPr="00B238A8">
        <w:rPr>
          <w:rFonts w:ascii="Times New Roman" w:eastAsia="MS Mincho" w:hAnsi="Times New Roman" w:cs="Arial"/>
          <w:sz w:val="20"/>
          <w:szCs w:val="20"/>
          <w:lang w:bidi="ar-SA"/>
        </w:rPr>
        <w:t xml:space="preserve">seaweed </w:t>
      </w:r>
      <w:r w:rsidRPr="00B238A8">
        <w:rPr>
          <w:rFonts w:ascii="Times New Roman" w:eastAsia="MS Mincho" w:hAnsi="Times New Roman" w:cs="Arial"/>
          <w:sz w:val="20"/>
          <w:szCs w:val="20"/>
          <w:lang w:val="en-MY" w:bidi="ar-SA"/>
        </w:rPr>
        <w:t>aqua</w:t>
      </w:r>
      <w:r w:rsidRPr="00B238A8">
        <w:rPr>
          <w:rFonts w:ascii="Times New Roman" w:eastAsia="MS Mincho" w:hAnsi="Times New Roman" w:cs="Arial"/>
          <w:sz w:val="20"/>
          <w:szCs w:val="20"/>
          <w:lang w:bidi="ar-SA"/>
        </w:rPr>
        <w:t>culture in the coastal area</w:t>
      </w:r>
      <w:r w:rsidRPr="00B238A8">
        <w:rPr>
          <w:rFonts w:ascii="Times New Roman" w:eastAsia="MS Mincho" w:hAnsi="Times New Roman" w:cs="Arial"/>
          <w:sz w:val="20"/>
          <w:szCs w:val="20"/>
          <w:lang w:val="en-MY" w:bidi="ar-SA"/>
        </w:rPr>
        <w:t>s</w:t>
      </w:r>
      <w:r w:rsidRPr="00B238A8">
        <w:rPr>
          <w:rFonts w:ascii="Times New Roman" w:eastAsia="MS Mincho" w:hAnsi="Times New Roman" w:cs="Arial"/>
          <w:sz w:val="20"/>
          <w:szCs w:val="20"/>
          <w:lang w:bidi="ar-SA"/>
        </w:rPr>
        <w:t xml:space="preserve"> of Tanzania. </w:t>
      </w:r>
    </w:p>
    <w:p w14:paraId="371DC979" w14:textId="77777777" w:rsidR="00F87302" w:rsidRDefault="00F87302" w:rsidP="00F87302">
      <w:pPr>
        <w:spacing w:after="0"/>
        <w:jc w:val="center"/>
        <w:rPr>
          <w:rFonts w:ascii="Times New Roman" w:eastAsia="MS Mincho" w:hAnsi="Times New Roman" w:cs="Arial"/>
          <w:sz w:val="20"/>
          <w:szCs w:val="20"/>
          <w:lang w:bidi="ar-SA"/>
        </w:rPr>
      </w:pPr>
    </w:p>
    <w:p w14:paraId="2CA9C286" w14:textId="77777777" w:rsidR="00F87302" w:rsidRPr="00F87302" w:rsidRDefault="00F87302" w:rsidP="00F87302">
      <w:pPr>
        <w:spacing w:after="0"/>
        <w:jc w:val="center"/>
        <w:rPr>
          <w:rFonts w:ascii="Times New Roman" w:hAnsi="Times New Roman"/>
          <w:b/>
          <w:noProof/>
          <w:sz w:val="20"/>
          <w:szCs w:val="20"/>
          <w:lang w:bidi="ar-SA"/>
        </w:rPr>
      </w:pPr>
      <w:r w:rsidRPr="00F87302">
        <w:rPr>
          <w:rFonts w:ascii="Times New Roman" w:hAnsi="Times New Roman"/>
          <w:b/>
          <w:noProof/>
          <w:sz w:val="20"/>
          <w:szCs w:val="20"/>
          <w:lang w:bidi="ar-SA"/>
        </w:rPr>
        <w:t>Materials and Methods</w:t>
      </w:r>
    </w:p>
    <w:p w14:paraId="07985AA9" w14:textId="77777777" w:rsidR="00F87302" w:rsidRPr="00F87302" w:rsidRDefault="00F87302" w:rsidP="00F87302">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t xml:space="preserve">Study area </w:t>
      </w:r>
    </w:p>
    <w:p w14:paraId="009D9C29" w14:textId="5C8CCF15" w:rsidR="00765E30" w:rsidRPr="002C60A1" w:rsidRDefault="00F87302" w:rsidP="002C60A1">
      <w:pPr>
        <w:spacing w:after="0"/>
        <w:jc w:val="both"/>
        <w:rPr>
          <w:rFonts w:ascii="Times New Roman" w:hAnsi="Times New Roman"/>
          <w:bCs/>
          <w:sz w:val="20"/>
          <w:szCs w:val="20"/>
          <w:lang w:bidi="ar-SA"/>
        </w:rPr>
      </w:pPr>
      <w:r w:rsidRPr="00F87302">
        <w:rPr>
          <w:rFonts w:ascii="Times New Roman" w:eastAsia="MS Mincho" w:hAnsi="Times New Roman"/>
          <w:sz w:val="20"/>
          <w:szCs w:val="20"/>
          <w:lang w:bidi="ar-SA"/>
        </w:rPr>
        <w:t xml:space="preserve">This study was conducted </w:t>
      </w:r>
      <w:r w:rsidRPr="00F87302">
        <w:rPr>
          <w:rFonts w:ascii="Times New Roman" w:eastAsia="MS Mincho" w:hAnsi="Times New Roman"/>
          <w:sz w:val="20"/>
          <w:szCs w:val="20"/>
          <w:lang w:val="en-MY" w:bidi="ar-SA"/>
        </w:rPr>
        <w:t>in</w:t>
      </w:r>
      <w:r w:rsidRPr="00F87302">
        <w:rPr>
          <w:rFonts w:ascii="Times New Roman" w:eastAsia="MS Mincho" w:hAnsi="Times New Roman"/>
          <w:sz w:val="20"/>
          <w:szCs w:val="20"/>
          <w:lang w:bidi="ar-SA"/>
        </w:rPr>
        <w:t xml:space="preserve"> three locations (Unguja Ukuu, Tumbe, and Kiungoni) along the coastal areas of Zanzibar. Tumbe and Kiungoni are located in the northern part of Pemba Island (</w:t>
      </w:r>
      <w:r w:rsidRPr="00F87302">
        <w:rPr>
          <w:rFonts w:ascii="Times New Roman" w:eastAsia="MS Mincho" w:hAnsi="Times New Roman"/>
          <w:sz w:val="20"/>
          <w:szCs w:val="20"/>
          <w:lang w:val="en-MY" w:bidi="ar-SA"/>
        </w:rPr>
        <w:t>F</w:t>
      </w:r>
      <w:r w:rsidRPr="00F87302">
        <w:rPr>
          <w:rFonts w:ascii="Times New Roman" w:eastAsia="MS Mincho" w:hAnsi="Times New Roman"/>
          <w:sz w:val="20"/>
          <w:szCs w:val="20"/>
          <w:lang w:bidi="ar-SA"/>
        </w:rPr>
        <w:t xml:space="preserve">igure 1), while Unguja Ukuu is situated in the southern part of Unguja island </w:t>
      </w:r>
      <w:r w:rsidR="00765E30"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w:t>
      </w:r>
      <w:r w:rsidRPr="00F87302">
        <w:rPr>
          <w:rFonts w:ascii="Times New Roman" w:eastAsia="MS Mincho" w:hAnsi="Times New Roman"/>
          <w:sz w:val="20"/>
          <w:szCs w:val="20"/>
          <w:lang w:val="en-MY" w:bidi="ar-SA"/>
        </w:rPr>
        <w:t>F</w:t>
      </w:r>
      <w:r w:rsidRPr="00F87302">
        <w:rPr>
          <w:rFonts w:ascii="Times New Roman" w:eastAsia="MS Mincho" w:hAnsi="Times New Roman"/>
          <w:sz w:val="20"/>
          <w:szCs w:val="20"/>
          <w:lang w:bidi="ar-SA"/>
        </w:rPr>
        <w:t>igure 2). Seaweed farming is mainly found in these areas.</w:t>
      </w:r>
      <w:r w:rsidRPr="00F87302">
        <w:rPr>
          <w:rFonts w:ascii="Times New Roman" w:eastAsia="MS Mincho" w:hAnsi="Times New Roman"/>
          <w:color w:val="FF0000"/>
          <w:sz w:val="20"/>
          <w:szCs w:val="20"/>
          <w:lang w:bidi="ar-SA"/>
        </w:rPr>
        <w:t xml:space="preserve"> </w:t>
      </w:r>
      <w:r w:rsidRPr="00F87302">
        <w:rPr>
          <w:rFonts w:ascii="Times New Roman" w:hAnsi="Times New Roman"/>
          <w:bCs/>
          <w:sz w:val="20"/>
          <w:szCs w:val="20"/>
          <w:lang w:bidi="ar-SA"/>
        </w:rPr>
        <w:t xml:space="preserve">Fresh seaweed </w:t>
      </w:r>
      <w:r w:rsidRPr="00F87302">
        <w:rPr>
          <w:rFonts w:ascii="Times New Roman" w:eastAsia="MS Mincho" w:hAnsi="Times New Roman"/>
          <w:bCs/>
          <w:i/>
          <w:sz w:val="20"/>
          <w:szCs w:val="20"/>
          <w:lang w:bidi="ar-SA"/>
        </w:rPr>
        <w:t>E. denticulatum</w:t>
      </w:r>
      <w:r w:rsidRPr="00F87302">
        <w:rPr>
          <w:rFonts w:ascii="Times New Roman" w:hAnsi="Times New Roman"/>
          <w:bCs/>
          <w:sz w:val="20"/>
          <w:szCs w:val="20"/>
          <w:lang w:bidi="ar-SA"/>
        </w:rPr>
        <w:t xml:space="preserve"> samples were cleaned carefully on-site with ocean water to eliminate impurities.</w:t>
      </w:r>
    </w:p>
    <w:p w14:paraId="55165345" w14:textId="19C6B9C0" w:rsidR="00E80AC4" w:rsidRDefault="00765E30" w:rsidP="00E80AC4">
      <w:pPr>
        <w:keepNext/>
        <w:keepLines/>
        <w:tabs>
          <w:tab w:val="left" w:pos="1350"/>
        </w:tabs>
        <w:spacing w:after="120"/>
        <w:jc w:val="center"/>
        <w:outlineLvl w:val="1"/>
        <w:rPr>
          <w:rFonts w:ascii="Times New Roman" w:eastAsia="Calibri" w:hAnsi="Times New Roman"/>
          <w:b/>
          <w:iCs/>
          <w:sz w:val="20"/>
          <w:szCs w:val="20"/>
          <w:lang w:eastAsia="ja-JP" w:bidi="ar-SA"/>
        </w:rPr>
      </w:pPr>
      <w:r w:rsidRPr="00F87302">
        <w:rPr>
          <w:rFonts w:ascii="Times New Roman" w:hAnsi="Times New Roman"/>
          <w:noProof/>
          <w:sz w:val="20"/>
          <w:szCs w:val="20"/>
        </w:rPr>
        <w:drawing>
          <wp:inline distT="0" distB="0" distL="0" distR="0" wp14:anchorId="0E0B9A9F" wp14:editId="78FCAF6E">
            <wp:extent cx="2834640" cy="20040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834640" cy="2004060"/>
                    </a:xfrm>
                    <a:prstGeom prst="rect">
                      <a:avLst/>
                    </a:prstGeom>
                    <a:noFill/>
                    <a:ln>
                      <a:noFill/>
                    </a:ln>
                  </pic:spPr>
                </pic:pic>
              </a:graphicData>
            </a:graphic>
          </wp:inline>
        </w:drawing>
      </w:r>
    </w:p>
    <w:p w14:paraId="548552CF" w14:textId="3E4A0EDA" w:rsidR="00E80AC4" w:rsidRPr="00F87302" w:rsidRDefault="00E80AC4" w:rsidP="00E80AC4">
      <w:pPr>
        <w:spacing w:after="0"/>
        <w:ind w:left="900" w:hanging="90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Figure 1. </w:t>
      </w:r>
      <w:r>
        <w:rPr>
          <w:rFonts w:ascii="Times New Roman" w:eastAsia="MS Mincho" w:hAnsi="Times New Roman"/>
          <w:sz w:val="20"/>
          <w:szCs w:val="20"/>
          <w:lang w:bidi="ar-SA"/>
        </w:rPr>
        <w:tab/>
      </w:r>
      <w:r w:rsidRPr="00F87302">
        <w:rPr>
          <w:rFonts w:ascii="Times New Roman" w:eastAsia="MS Mincho" w:hAnsi="Times New Roman"/>
          <w:sz w:val="20"/>
          <w:szCs w:val="20"/>
          <w:lang w:bidi="ar-SA"/>
        </w:rPr>
        <w:t>The sampling areas in</w:t>
      </w:r>
      <w:r w:rsidRPr="00F87302">
        <w:rPr>
          <w:rFonts w:ascii="Times New Roman" w:eastAsia="MS Mincho" w:hAnsi="Times New Roman"/>
          <w:sz w:val="20"/>
          <w:szCs w:val="20"/>
          <w:lang w:val="en-MY" w:bidi="ar-SA"/>
        </w:rPr>
        <w:t xml:space="preserve"> the</w:t>
      </w:r>
      <w:r w:rsidRPr="00F87302">
        <w:rPr>
          <w:rFonts w:ascii="Times New Roman" w:eastAsia="MS Mincho" w:hAnsi="Times New Roman"/>
          <w:sz w:val="20"/>
          <w:szCs w:val="20"/>
          <w:lang w:bidi="ar-SA"/>
        </w:rPr>
        <w:t xml:space="preserve"> Pemba Island coastal </w:t>
      </w:r>
      <w:r w:rsidRPr="00F87302">
        <w:rPr>
          <w:rFonts w:ascii="Times New Roman" w:eastAsia="MS Mincho" w:hAnsi="Times New Roman"/>
          <w:sz w:val="20"/>
          <w:szCs w:val="20"/>
          <w:lang w:val="en-MY" w:bidi="ar-SA"/>
        </w:rPr>
        <w:t>r</w:t>
      </w:r>
      <w:r w:rsidRPr="00F87302">
        <w:rPr>
          <w:rFonts w:ascii="Times New Roman" w:eastAsia="MS Mincho" w:hAnsi="Times New Roman"/>
          <w:sz w:val="20"/>
          <w:szCs w:val="20"/>
          <w:lang w:bidi="ar-SA"/>
        </w:rPr>
        <w:t>egion</w:t>
      </w:r>
    </w:p>
    <w:p w14:paraId="15EF1D6F" w14:textId="77777777" w:rsidR="00E80AC4" w:rsidRDefault="00E80AC4" w:rsidP="00E80AC4">
      <w:pPr>
        <w:keepNext/>
        <w:keepLines/>
        <w:tabs>
          <w:tab w:val="left" w:pos="1350"/>
        </w:tabs>
        <w:spacing w:after="120"/>
        <w:outlineLvl w:val="1"/>
        <w:rPr>
          <w:rFonts w:ascii="Times New Roman" w:eastAsia="Calibri" w:hAnsi="Times New Roman"/>
          <w:b/>
          <w:iCs/>
          <w:sz w:val="20"/>
          <w:szCs w:val="20"/>
          <w:lang w:eastAsia="ja-JP" w:bidi="ar-SA"/>
        </w:rPr>
      </w:pPr>
    </w:p>
    <w:p w14:paraId="38CC60AA" w14:textId="156D161F" w:rsidR="00E80AC4" w:rsidRDefault="00E80AC4" w:rsidP="00E80AC4">
      <w:pPr>
        <w:keepNext/>
        <w:keepLines/>
        <w:tabs>
          <w:tab w:val="left" w:pos="1350"/>
        </w:tabs>
        <w:spacing w:after="120"/>
        <w:outlineLvl w:val="1"/>
        <w:rPr>
          <w:rFonts w:ascii="Times New Roman" w:eastAsia="Calibri" w:hAnsi="Times New Roman"/>
          <w:b/>
          <w:iCs/>
          <w:sz w:val="20"/>
          <w:szCs w:val="20"/>
          <w:lang w:eastAsia="ja-JP" w:bidi="ar-SA"/>
        </w:rPr>
      </w:pPr>
      <w:r w:rsidRPr="00F87302">
        <w:rPr>
          <w:rFonts w:ascii="Times New Roman" w:eastAsia="MS Mincho" w:hAnsi="Times New Roman"/>
          <w:noProof/>
          <w:sz w:val="20"/>
          <w:szCs w:val="20"/>
          <w:lang w:bidi="ar-SA"/>
        </w:rPr>
        <w:drawing>
          <wp:inline distT="0" distB="0" distL="0" distR="0" wp14:anchorId="1AEAC676" wp14:editId="0176AD81">
            <wp:extent cx="2834640" cy="200547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4640" cy="2005475"/>
                    </a:xfrm>
                    <a:prstGeom prst="rect">
                      <a:avLst/>
                    </a:prstGeom>
                    <a:noFill/>
                  </pic:spPr>
                </pic:pic>
              </a:graphicData>
            </a:graphic>
          </wp:inline>
        </w:drawing>
      </w:r>
    </w:p>
    <w:p w14:paraId="18C5339F" w14:textId="08969F62" w:rsidR="00E80AC4" w:rsidRPr="00F87302" w:rsidRDefault="00E80AC4" w:rsidP="00E80AC4">
      <w:pPr>
        <w:spacing w:after="0"/>
        <w:ind w:left="810" w:hanging="810"/>
        <w:jc w:val="both"/>
        <w:rPr>
          <w:rFonts w:ascii="Times New Roman" w:eastAsia="MS Mincho" w:hAnsi="Times New Roman"/>
          <w:color w:val="000000"/>
          <w:sz w:val="20"/>
          <w:szCs w:val="20"/>
          <w:lang w:val="en-MY" w:bidi="ar-SA"/>
        </w:rPr>
      </w:pPr>
      <w:r w:rsidRPr="00F87302">
        <w:rPr>
          <w:rFonts w:ascii="Times New Roman" w:eastAsia="MS Mincho" w:hAnsi="Times New Roman"/>
          <w:color w:val="000000"/>
          <w:sz w:val="20"/>
          <w:szCs w:val="20"/>
          <w:lang w:bidi="ar-SA"/>
        </w:rPr>
        <w:t xml:space="preserve">Figure 2. </w:t>
      </w:r>
      <w:r>
        <w:rPr>
          <w:rFonts w:ascii="Times New Roman" w:eastAsia="MS Mincho" w:hAnsi="Times New Roman"/>
          <w:color w:val="000000"/>
          <w:sz w:val="20"/>
          <w:szCs w:val="20"/>
          <w:lang w:bidi="ar-SA"/>
        </w:rPr>
        <w:t xml:space="preserve"> </w:t>
      </w:r>
      <w:r w:rsidRPr="00F87302">
        <w:rPr>
          <w:rFonts w:ascii="Times New Roman" w:eastAsia="MS Mincho" w:hAnsi="Times New Roman"/>
          <w:color w:val="000000"/>
          <w:sz w:val="20"/>
          <w:szCs w:val="20"/>
          <w:lang w:bidi="ar-SA"/>
        </w:rPr>
        <w:t>The sampling area in</w:t>
      </w:r>
      <w:r w:rsidRPr="00F87302">
        <w:rPr>
          <w:rFonts w:ascii="Times New Roman" w:eastAsia="MS Mincho" w:hAnsi="Times New Roman"/>
          <w:color w:val="000000"/>
          <w:sz w:val="20"/>
          <w:szCs w:val="20"/>
          <w:lang w:val="en-MY" w:bidi="ar-SA"/>
        </w:rPr>
        <w:t xml:space="preserve"> the</w:t>
      </w:r>
      <w:r w:rsidRPr="00F87302">
        <w:rPr>
          <w:rFonts w:ascii="Times New Roman" w:eastAsia="MS Mincho" w:hAnsi="Times New Roman"/>
          <w:color w:val="000000"/>
          <w:sz w:val="20"/>
          <w:szCs w:val="20"/>
          <w:lang w:bidi="ar-SA"/>
        </w:rPr>
        <w:t xml:space="preserve"> Unguja Island </w:t>
      </w:r>
      <w:r w:rsidRPr="00F87302">
        <w:rPr>
          <w:rFonts w:ascii="Times New Roman" w:eastAsia="MS Mincho" w:hAnsi="Times New Roman"/>
          <w:color w:val="000000"/>
          <w:sz w:val="20"/>
          <w:szCs w:val="20"/>
          <w:lang w:val="en-MY" w:bidi="ar-SA"/>
        </w:rPr>
        <w:t>c</w:t>
      </w:r>
      <w:r w:rsidRPr="00F87302">
        <w:rPr>
          <w:rFonts w:ascii="Times New Roman" w:eastAsia="MS Mincho" w:hAnsi="Times New Roman"/>
          <w:color w:val="000000"/>
          <w:sz w:val="20"/>
          <w:szCs w:val="20"/>
          <w:lang w:bidi="ar-SA"/>
        </w:rPr>
        <w:t xml:space="preserve">oastal </w:t>
      </w:r>
      <w:r w:rsidRPr="00F87302">
        <w:rPr>
          <w:rFonts w:ascii="Times New Roman" w:eastAsia="MS Mincho" w:hAnsi="Times New Roman"/>
          <w:color w:val="000000"/>
          <w:sz w:val="20"/>
          <w:szCs w:val="20"/>
          <w:lang w:val="en-MY" w:bidi="ar-SA"/>
        </w:rPr>
        <w:t>r</w:t>
      </w:r>
      <w:r w:rsidRPr="00F87302">
        <w:rPr>
          <w:rFonts w:ascii="Times New Roman" w:eastAsia="MS Mincho" w:hAnsi="Times New Roman"/>
          <w:color w:val="000000"/>
          <w:sz w:val="20"/>
          <w:szCs w:val="20"/>
          <w:lang w:bidi="ar-SA"/>
        </w:rPr>
        <w:t>egion</w:t>
      </w:r>
    </w:p>
    <w:p w14:paraId="49FA1BDE" w14:textId="77777777" w:rsidR="00E80AC4" w:rsidRDefault="00E80AC4" w:rsidP="00E80AC4">
      <w:pPr>
        <w:keepNext/>
        <w:keepLines/>
        <w:tabs>
          <w:tab w:val="left" w:pos="1350"/>
        </w:tabs>
        <w:spacing w:after="120"/>
        <w:outlineLvl w:val="1"/>
        <w:rPr>
          <w:rFonts w:ascii="Times New Roman" w:eastAsia="Calibri" w:hAnsi="Times New Roman"/>
          <w:b/>
          <w:iCs/>
          <w:sz w:val="20"/>
          <w:szCs w:val="20"/>
          <w:lang w:eastAsia="ja-JP" w:bidi="ar-SA"/>
        </w:rPr>
      </w:pPr>
    </w:p>
    <w:p w14:paraId="13E13A74" w14:textId="77777777" w:rsidR="00E80AC4" w:rsidRPr="00F87302" w:rsidRDefault="00E80AC4" w:rsidP="00E80AC4">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t>Sample preparation</w:t>
      </w:r>
    </w:p>
    <w:p w14:paraId="7439A103" w14:textId="77777777" w:rsidR="002C60A1" w:rsidRDefault="00E80AC4" w:rsidP="00E80AC4">
      <w:pPr>
        <w:autoSpaceDE w:val="0"/>
        <w:autoSpaceDN w:val="0"/>
        <w:adjustRightInd w:val="0"/>
        <w:spacing w:after="0"/>
        <w:jc w:val="both"/>
        <w:rPr>
          <w:rFonts w:ascii="Times New Roman" w:eastAsia="MS Mincho" w:hAnsi="Times New Roman"/>
          <w:sz w:val="20"/>
          <w:szCs w:val="20"/>
          <w:lang w:bidi="ar-SA"/>
        </w:rPr>
        <w:sectPr w:rsidR="002C60A1" w:rsidSect="00F87302">
          <w:footerReference w:type="default" r:id="rId15"/>
          <w:type w:val="continuous"/>
          <w:pgSz w:w="12240" w:h="15840" w:code="1"/>
          <w:pgMar w:top="1800" w:right="1469" w:bottom="1699" w:left="1440" w:header="706" w:footer="706" w:gutter="0"/>
          <w:pgNumType w:start="1"/>
          <w:cols w:num="2" w:space="403"/>
          <w:docGrid w:linePitch="360"/>
        </w:sectPr>
      </w:pPr>
      <w:r w:rsidRPr="00F87302">
        <w:rPr>
          <w:rFonts w:ascii="Times New Roman" w:hAnsi="Times New Roman"/>
          <w:bCs/>
          <w:sz w:val="20"/>
          <w:szCs w:val="20"/>
          <w:lang w:bidi="ar-SA"/>
        </w:rPr>
        <w:t>The</w:t>
      </w:r>
      <w:r w:rsidRPr="00F87302">
        <w:rPr>
          <w:rFonts w:ascii="Times New Roman" w:eastAsia="MS Mincho" w:hAnsi="Times New Roman"/>
          <w:sz w:val="20"/>
          <w:szCs w:val="20"/>
          <w:lang w:bidi="ar-SA"/>
        </w:rPr>
        <w:t xml:space="preserve"> seaweed samples were washed with tap water</w:t>
      </w:r>
      <w:r w:rsidRPr="00F87302">
        <w:rPr>
          <w:rFonts w:ascii="Times New Roman" w:eastAsia="MS Mincho" w:hAnsi="Times New Roman"/>
          <w:sz w:val="20"/>
          <w:szCs w:val="20"/>
          <w:lang w:val="en-MY" w:bidi="ar-SA"/>
        </w:rPr>
        <w:t xml:space="preserve">, before being washed again with </w:t>
      </w:r>
      <w:r w:rsidRPr="00F87302">
        <w:rPr>
          <w:rFonts w:ascii="Times New Roman" w:eastAsia="MS Mincho" w:hAnsi="Times New Roman"/>
          <w:sz w:val="20"/>
          <w:szCs w:val="20"/>
          <w:lang w:bidi="ar-SA"/>
        </w:rPr>
        <w:t>deion</w:t>
      </w:r>
      <w:r w:rsidRPr="00F87302">
        <w:rPr>
          <w:rFonts w:ascii="Times New Roman" w:eastAsia="MS Mincho" w:hAnsi="Times New Roman"/>
          <w:sz w:val="20"/>
          <w:szCs w:val="20"/>
          <w:lang w:val="en-MY" w:bidi="ar-SA"/>
        </w:rPr>
        <w:t>is</w:t>
      </w:r>
      <w:r w:rsidRPr="00F87302">
        <w:rPr>
          <w:rFonts w:ascii="Times New Roman" w:eastAsia="MS Mincho" w:hAnsi="Times New Roman"/>
          <w:sz w:val="20"/>
          <w:szCs w:val="20"/>
          <w:lang w:bidi="ar-SA"/>
        </w:rPr>
        <w:t xml:space="preserve">ed water to eradicate salts and particulate matter from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surface</w:t>
      </w:r>
      <w:r w:rsidRPr="00F87302">
        <w:rPr>
          <w:rFonts w:ascii="Times New Roman" w:eastAsia="MS Mincho" w:hAnsi="Times New Roman"/>
          <w:sz w:val="20"/>
          <w:szCs w:val="20"/>
          <w:lang w:val="en-MY" w:bidi="ar-SA"/>
        </w:rPr>
        <w:t xml:space="preserve"> of samples</w:t>
      </w:r>
      <w:r w:rsidRPr="00F87302">
        <w:rPr>
          <w:rFonts w:ascii="Times New Roman" w:eastAsia="MS Mincho" w:hAnsi="Times New Roman"/>
          <w:sz w:val="20"/>
          <w:szCs w:val="20"/>
          <w:lang w:bidi="ar-SA"/>
        </w:rPr>
        <w:t xml:space="preserve">. The samples were then air-dried for 48 hours and </w:t>
      </w:r>
      <w:r w:rsidRPr="00F87302">
        <w:rPr>
          <w:rFonts w:ascii="Times New Roman" w:eastAsia="MS Mincho" w:hAnsi="Times New Roman"/>
          <w:sz w:val="20"/>
          <w:szCs w:val="20"/>
          <w:lang w:val="en-MY" w:bidi="ar-SA"/>
        </w:rPr>
        <w:t>t</w:t>
      </w:r>
      <w:r w:rsidRPr="00F87302">
        <w:rPr>
          <w:rFonts w:ascii="Times New Roman" w:eastAsia="MS Mincho" w:hAnsi="Times New Roman"/>
          <w:sz w:val="20"/>
          <w:szCs w:val="20"/>
          <w:lang w:bidi="ar-SA"/>
        </w:rPr>
        <w:t>h</w:t>
      </w:r>
      <w:r w:rsidRPr="00F87302">
        <w:rPr>
          <w:rFonts w:ascii="Times New Roman" w:eastAsia="MS Mincho" w:hAnsi="Times New Roman"/>
          <w:sz w:val="20"/>
          <w:szCs w:val="20"/>
          <w:lang w:val="en-MY" w:bidi="ar-SA"/>
        </w:rPr>
        <w:t>en</w:t>
      </w:r>
      <w:r w:rsidRPr="00F87302">
        <w:rPr>
          <w:rFonts w:ascii="Times New Roman" w:eastAsia="MS Mincho" w:hAnsi="Times New Roman"/>
          <w:sz w:val="20"/>
          <w:szCs w:val="20"/>
          <w:lang w:bidi="ar-SA"/>
        </w:rPr>
        <w:t xml:space="preserve"> oven-drying at 80 </w:t>
      </w:r>
      <w:r w:rsidRPr="00F87302">
        <w:rPr>
          <w:rFonts w:ascii="Times New Roman" w:eastAsia="MS Mincho" w:hAnsi="Times New Roman"/>
          <w:bCs/>
          <w:sz w:val="20"/>
          <w:szCs w:val="20"/>
          <w:lang w:bidi="ar-SA"/>
        </w:rPr>
        <w:t xml:space="preserve">℃ </w:t>
      </w:r>
      <w:r w:rsidRPr="00F87302">
        <w:rPr>
          <w:rFonts w:ascii="Times New Roman" w:eastAsia="MS Mincho" w:hAnsi="Times New Roman"/>
          <w:sz w:val="20"/>
          <w:szCs w:val="20"/>
          <w:lang w:bidi="ar-SA"/>
        </w:rPr>
        <w:t xml:space="preserve">for 24 hrs. The dried samples were ground into </w:t>
      </w:r>
      <w:r w:rsidRPr="00F87302">
        <w:rPr>
          <w:rFonts w:ascii="Times New Roman" w:eastAsia="MS Mincho" w:hAnsi="Times New Roman"/>
          <w:sz w:val="20"/>
          <w:szCs w:val="20"/>
          <w:lang w:val="en-MY" w:bidi="ar-SA"/>
        </w:rPr>
        <w:t xml:space="preserve">a </w:t>
      </w:r>
      <w:r w:rsidRPr="00F87302">
        <w:rPr>
          <w:rFonts w:ascii="Times New Roman" w:eastAsia="MS Mincho" w:hAnsi="Times New Roman"/>
          <w:sz w:val="20"/>
          <w:szCs w:val="20"/>
          <w:lang w:bidi="ar-SA"/>
        </w:rPr>
        <w:t xml:space="preserve">homogeneous powder </w:t>
      </w:r>
      <w:r w:rsidRPr="00F87302">
        <w:rPr>
          <w:rFonts w:ascii="Times New Roman" w:eastAsia="MS Mincho" w:hAnsi="Times New Roman"/>
          <w:sz w:val="20"/>
          <w:szCs w:val="20"/>
          <w:lang w:val="en-MY" w:bidi="ar-SA"/>
        </w:rPr>
        <w:t>using</w:t>
      </w:r>
      <w:r w:rsidRPr="00F87302">
        <w:rPr>
          <w:rFonts w:ascii="Times New Roman" w:eastAsia="MS Mincho" w:hAnsi="Times New Roman"/>
          <w:sz w:val="20"/>
          <w:szCs w:val="20"/>
          <w:lang w:bidi="ar-SA"/>
        </w:rPr>
        <w:t xml:space="preserve"> a laboratory blender and stored in a desiccator before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biosorption experiments</w:t>
      </w:r>
      <w:r w:rsidRPr="00F87302">
        <w:rPr>
          <w:rFonts w:ascii="Times New Roman" w:eastAsia="MS Mincho" w:hAnsi="Times New Roman"/>
          <w:sz w:val="20"/>
          <w:szCs w:val="20"/>
          <w:lang w:val="en-MY" w:bidi="ar-SA"/>
        </w:rPr>
        <w:t xml:space="preserve"> were </w:t>
      </w:r>
      <w:r w:rsidRPr="00F87302">
        <w:rPr>
          <w:rFonts w:ascii="Times New Roman" w:eastAsia="MS Mincho" w:hAnsi="Times New Roman"/>
          <w:sz w:val="20"/>
          <w:szCs w:val="20"/>
          <w:lang w:bidi="ar-SA"/>
        </w:rPr>
        <w:t>conduct</w:t>
      </w:r>
      <w:r w:rsidRPr="00F87302">
        <w:rPr>
          <w:rFonts w:ascii="Times New Roman" w:eastAsia="MS Mincho" w:hAnsi="Times New Roman"/>
          <w:sz w:val="20"/>
          <w:szCs w:val="20"/>
          <w:lang w:val="en-MY" w:bidi="ar-SA"/>
        </w:rPr>
        <w:t>ed</w:t>
      </w:r>
      <w:r w:rsidRPr="00F87302">
        <w:rPr>
          <w:rFonts w:ascii="Times New Roman" w:eastAsia="MS Mincho" w:hAnsi="Times New Roman"/>
          <w:sz w:val="20"/>
          <w:szCs w:val="20"/>
          <w:lang w:bidi="ar-SA"/>
        </w:rPr>
        <w:t xml:space="preserve">. </w:t>
      </w:r>
    </w:p>
    <w:p w14:paraId="0D41A7AB" w14:textId="77777777" w:rsidR="00E80AC4" w:rsidRPr="00F87302" w:rsidRDefault="00E80AC4" w:rsidP="002C60A1">
      <w:pPr>
        <w:keepNext/>
        <w:keepLines/>
        <w:tabs>
          <w:tab w:val="left" w:pos="1350"/>
        </w:tabs>
        <w:spacing w:after="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lastRenderedPageBreak/>
        <w:t>Pb(II) ions solution preparation</w:t>
      </w:r>
    </w:p>
    <w:p w14:paraId="2AC9F588" w14:textId="77777777" w:rsidR="00E80AC4" w:rsidRPr="00F87302" w:rsidRDefault="00E80AC4" w:rsidP="00E80AC4">
      <w:pPr>
        <w:spacing w:after="0"/>
        <w:jc w:val="both"/>
        <w:rPr>
          <w:rFonts w:ascii="Times New Roman" w:eastAsia="MS Mincho" w:hAnsi="Times New Roman"/>
          <w:bCs/>
          <w:iCs/>
          <w:color w:val="FF0000"/>
          <w:sz w:val="20"/>
          <w:szCs w:val="20"/>
          <w:lang w:bidi="ar-SA"/>
        </w:rPr>
      </w:pPr>
      <w:r w:rsidRPr="00F87302">
        <w:rPr>
          <w:rFonts w:ascii="Times New Roman" w:eastAsia="MS Mincho" w:hAnsi="Times New Roman"/>
          <w:bCs/>
          <w:iCs/>
          <w:sz w:val="20"/>
          <w:szCs w:val="20"/>
          <w:lang w:bidi="ar-SA"/>
        </w:rPr>
        <w:t xml:space="preserve">Pb(II) </w:t>
      </w:r>
      <w:r w:rsidRPr="00F87302">
        <w:rPr>
          <w:rFonts w:ascii="Times New Roman" w:eastAsia="MS Mincho" w:hAnsi="Times New Roman"/>
          <w:sz w:val="20"/>
          <w:szCs w:val="20"/>
          <w:lang w:bidi="ar-SA"/>
        </w:rPr>
        <w:t>ions stock solution</w:t>
      </w:r>
      <w:r w:rsidRPr="00F87302">
        <w:rPr>
          <w:rFonts w:ascii="Times New Roman" w:eastAsia="MS Mincho" w:hAnsi="Times New Roman"/>
          <w:sz w:val="20"/>
          <w:szCs w:val="20"/>
          <w:vertAlign w:val="superscript"/>
          <w:lang w:bidi="ar-SA"/>
        </w:rPr>
        <w:t xml:space="preserve"> </w:t>
      </w:r>
      <w:r w:rsidRPr="00F87302">
        <w:rPr>
          <w:rFonts w:ascii="Times New Roman" w:eastAsia="MS Mincho" w:hAnsi="Times New Roman"/>
          <w:sz w:val="20"/>
          <w:szCs w:val="20"/>
          <w:lang w:bidi="ar-SA"/>
        </w:rPr>
        <w:t>was prepared by dissolving 1.60g of Pb (NO)</w:t>
      </w:r>
      <w:r w:rsidRPr="00F87302">
        <w:rPr>
          <w:rFonts w:ascii="Times New Roman" w:eastAsia="MS Mincho" w:hAnsi="Times New Roman"/>
          <w:sz w:val="20"/>
          <w:szCs w:val="20"/>
          <w:vertAlign w:val="subscript"/>
          <w:lang w:bidi="ar-SA"/>
        </w:rPr>
        <w:t xml:space="preserve">3 </w:t>
      </w:r>
      <w:r w:rsidRPr="00F87302">
        <w:rPr>
          <w:rFonts w:ascii="Times New Roman" w:eastAsia="MS Mincho" w:hAnsi="Times New Roman"/>
          <w:sz w:val="20"/>
          <w:szCs w:val="20"/>
          <w:lang w:bidi="ar-SA"/>
        </w:rPr>
        <w:t>in 1000 ml of deion</w:t>
      </w:r>
      <w:r w:rsidRPr="00F87302">
        <w:rPr>
          <w:rFonts w:ascii="Times New Roman" w:eastAsia="MS Mincho" w:hAnsi="Times New Roman"/>
          <w:sz w:val="20"/>
          <w:szCs w:val="20"/>
          <w:lang w:val="en-MY" w:bidi="ar-SA"/>
        </w:rPr>
        <w:t>is</w:t>
      </w:r>
      <w:r w:rsidRPr="00F87302">
        <w:rPr>
          <w:rFonts w:ascii="Times New Roman" w:eastAsia="MS Mincho" w:hAnsi="Times New Roman"/>
          <w:sz w:val="20"/>
          <w:szCs w:val="20"/>
          <w:lang w:bidi="ar-SA"/>
        </w:rPr>
        <w:t xml:space="preserve">ed water. The different concentrations of Pb(II) solutions (50, 100, 250, 500, 1000, 1500, and 2000 mg/L were prepared by diluting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 xml:space="preserve">stock solution. The initial pH of the standard solutions was adjusted to the desired value by adding 0.1 M HCl or 0.1 M NaOH. The analytical grade of chemicals from Merck was used in this study. </w:t>
      </w:r>
      <w:r w:rsidRPr="00F87302">
        <w:rPr>
          <w:rFonts w:ascii="Times New Roman" w:eastAsia="MS Mincho" w:hAnsi="Times New Roman"/>
          <w:bCs/>
          <w:iCs/>
          <w:sz w:val="20"/>
          <w:szCs w:val="20"/>
          <w:lang w:bidi="ar-SA"/>
        </w:rPr>
        <w:t xml:space="preserve">The concentrations of </w:t>
      </w:r>
      <w:r w:rsidRPr="00F87302">
        <w:rPr>
          <w:rFonts w:ascii="Times New Roman" w:eastAsia="MS Mincho" w:hAnsi="Times New Roman"/>
          <w:bCs/>
          <w:iCs/>
          <w:sz w:val="20"/>
          <w:szCs w:val="20"/>
          <w:lang w:val="en-MY" w:bidi="ar-SA"/>
        </w:rPr>
        <w:t xml:space="preserve">the </w:t>
      </w:r>
      <w:r w:rsidRPr="00F87302">
        <w:rPr>
          <w:rFonts w:ascii="Times New Roman" w:eastAsia="MS Mincho" w:hAnsi="Times New Roman"/>
          <w:bCs/>
          <w:iCs/>
          <w:sz w:val="20"/>
          <w:szCs w:val="20"/>
          <w:lang w:bidi="ar-SA"/>
        </w:rPr>
        <w:t>standard solutions of 0.20, 1.00, 2.00, 7.00, 10.00, and 20.00 mg/L were precisely prepared</w:t>
      </w:r>
      <w:r w:rsidRPr="00F87302">
        <w:rPr>
          <w:rFonts w:ascii="Times New Roman" w:eastAsia="MS Mincho" w:hAnsi="Times New Roman"/>
          <w:bCs/>
          <w:iCs/>
          <w:color w:val="FF0000"/>
          <w:sz w:val="20"/>
          <w:szCs w:val="20"/>
          <w:lang w:bidi="ar-SA"/>
        </w:rPr>
        <w:t xml:space="preserve">. </w:t>
      </w:r>
    </w:p>
    <w:p w14:paraId="597CC6C0" w14:textId="77777777" w:rsidR="00E80AC4" w:rsidRDefault="00E80AC4" w:rsidP="002C60A1">
      <w:pPr>
        <w:keepNext/>
        <w:keepLines/>
        <w:tabs>
          <w:tab w:val="left" w:pos="1350"/>
        </w:tabs>
        <w:spacing w:after="0"/>
        <w:outlineLvl w:val="1"/>
        <w:rPr>
          <w:rFonts w:ascii="Times New Roman" w:eastAsia="Calibri" w:hAnsi="Times New Roman"/>
          <w:b/>
          <w:iCs/>
          <w:sz w:val="20"/>
          <w:szCs w:val="20"/>
          <w:lang w:eastAsia="ja-JP" w:bidi="ar-SA"/>
        </w:rPr>
      </w:pPr>
    </w:p>
    <w:p w14:paraId="759D4153" w14:textId="77777777" w:rsidR="002C60A1" w:rsidRPr="00F87302" w:rsidRDefault="002C60A1" w:rsidP="002C60A1">
      <w:pPr>
        <w:keepNext/>
        <w:keepLines/>
        <w:tabs>
          <w:tab w:val="left" w:pos="0"/>
        </w:tabs>
        <w:spacing w:after="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t xml:space="preserve">Preliminary concentration of Pb(II) in </w:t>
      </w:r>
      <w:r w:rsidRPr="00F87302">
        <w:rPr>
          <w:rFonts w:ascii="Times New Roman" w:eastAsia="Calibri" w:hAnsi="Times New Roman"/>
          <w:b/>
          <w:i/>
          <w:iCs/>
          <w:sz w:val="20"/>
          <w:szCs w:val="20"/>
          <w:lang w:eastAsia="ja-JP" w:bidi="ar-SA"/>
        </w:rPr>
        <w:t>E. Denticulatum</w:t>
      </w:r>
    </w:p>
    <w:p w14:paraId="2CDFFCA6" w14:textId="77777777" w:rsidR="002C60A1" w:rsidRPr="00F87302" w:rsidRDefault="002C60A1" w:rsidP="002C60A1">
      <w:pPr>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The initial Pb(II) ions level</w:t>
      </w:r>
      <w:r w:rsidRPr="00F87302">
        <w:rPr>
          <w:rFonts w:ascii="Times New Roman" w:eastAsia="MS Mincho" w:hAnsi="Times New Roman"/>
          <w:bCs/>
          <w:iCs/>
          <w:sz w:val="20"/>
          <w:szCs w:val="20"/>
          <w:lang w:bidi="ar-SA"/>
        </w:rPr>
        <w:t>s</w:t>
      </w:r>
      <w:r w:rsidRPr="00F87302">
        <w:rPr>
          <w:rFonts w:ascii="Times New Roman" w:eastAsia="MS Mincho" w:hAnsi="Times New Roman"/>
          <w:sz w:val="20"/>
          <w:szCs w:val="20"/>
          <w:lang w:bidi="ar-SA"/>
        </w:rPr>
        <w:t xml:space="preserve"> were determined using a modified </w:t>
      </w:r>
      <w:r w:rsidRPr="00F87302">
        <w:rPr>
          <w:rFonts w:ascii="Times New Roman" w:eastAsia="MS Mincho" w:hAnsi="Times New Roman"/>
          <w:sz w:val="20"/>
          <w:szCs w:val="20"/>
          <w:lang w:val="en-MY" w:bidi="ar-SA"/>
        </w:rPr>
        <w:t xml:space="preserve">version of the </w:t>
      </w:r>
      <w:r w:rsidRPr="00F87302">
        <w:rPr>
          <w:rFonts w:ascii="Times New Roman" w:eastAsia="MS Mincho" w:hAnsi="Times New Roman"/>
          <w:sz w:val="20"/>
          <w:szCs w:val="20"/>
          <w:lang w:bidi="ar-SA"/>
        </w:rPr>
        <w:t>method</w:t>
      </w:r>
      <w:r w:rsidRPr="00F87302">
        <w:rPr>
          <w:rFonts w:ascii="Times New Roman" w:eastAsia="MS Mincho" w:hAnsi="Times New Roman"/>
          <w:sz w:val="20"/>
          <w:szCs w:val="20"/>
          <w:lang w:val="en-MY" w:bidi="ar-SA"/>
        </w:rPr>
        <w:t>s</w:t>
      </w:r>
      <w:r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val="en-MY" w:bidi="ar-SA"/>
        </w:rPr>
        <w:t>devised by</w:t>
      </w:r>
      <w:r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fldChar w:fldCharType="begin" w:fldLock="1"/>
      </w:r>
      <w:r w:rsidRPr="00F87302">
        <w:rPr>
          <w:rFonts w:ascii="Times New Roman" w:eastAsia="MS Mincho" w:hAnsi="Times New Roman"/>
          <w:sz w:val="20"/>
          <w:szCs w:val="20"/>
          <w:lang w:bidi="ar-SA"/>
        </w:rPr>
        <w:instrText>ADDIN CSL_CITATION {"citationItems":[{"id":"ITEM-1","itemData":{"DOI":"10.1007/s10661-013-3388-8","ISSN":"01676369","abstract":"Sweet potatoes are a staple in the diet of some people and an excellent source of minerals. Metal monitoring in food, like sweet potatoes, provides basic information on safety aspects in regulatory processes as well as nutritional values. One hundred five samples of three varieties of sweet potatoes were randomly obtained from supermarkets, farmers markets, and farmers' plots in Tenerife (Canary Islands, Spain). The edible portion (pulp) was the only part considered for analysis. Flame atomic absorption spectrometry was used to determine the contents of sodium (Na), potassium (K), calcium (Ca), magnesium (Mg), copper (Cu), iron (Fe), manganese (Mn), and zinc (Zn), while the levels of chromium (Cr), nickel (Ni), cadmium (Cd), and lead (Pb) were determined using graphite furnace atomic absorption spectrometry. The mean concentrations were 500 Na, 4409 K, 564 Ca, 609 Mg, 1.291 Cu, 6.554 Fe, 2.324 Mn, 2.348 Zn, 0.028 Cr, 0.048 Ni, 0.001 Cd, and 0.003 Pb mg/kg, respectively. Potassium presented the highest contents in all varieties of sweet potatoes. Iron was the most abundant microelement. The orange fleshed sweet potato variety offered greater nutritional contributions to the recommended intakes than the rest of the varieties studied. The estimated mean daily intake of Ni (0.72 mg/day) detected in our samples was highly consistent with other studies. Average daily intakes of Cd (0.015 μg/day) and Pb (0.045 μg/day) were below toxicological reference values. In conclusion, the levels of Cd and Pb detected in the sweet potatoes analyzed do not represent any toxicological risk to consumers. © 2013 Springer Science+Business Media Dordrecht.","author":[{"dropping-particle":"","family":"Luis","given":"Gara","non-dropping-particle":"","parse-names":false,"suffix":""},{"dropping-particle":"","family":"Rubio","given":"Carmen","non-dropping-particle":"","parse-names":false,"suffix":""},{"dropping-particle":"","family":"Gutiérrez","given":"Ángel J.","non-dropping-particle":"","parse-names":false,"suffix":""},{"dropping-particle":"","family":"González-Weller","given":"Dailos","non-dropping-particle":"","parse-names":false,"suffix":""},{"dropping-particle":"","family":"Revert","given":"Consuelo","non-dropping-particle":"","parse-names":false,"suffix":""},{"dropping-particle":"","family":"Hardisson","given":"Arturo","non-dropping-particle":"","parse-names":false,"suffix":""}],"container-title":"Environmental Monitoring and Assessment","id":"ITEM-1","issue":"1","issued":{"date-parts":[["2014"]]},"page":"433-440","title":"Evaluation of metals in several varieties of sweet potatoes (Ipomoea batatas L.): Comparative study","type":"article-journal","volume":"186"},"uris":["http://www.mendeley.com/documents/?uuid=22488d15-1de6-43ef-9b57-b7a47e9f917e"]},{"id":"ITEM-2","itemData":{"DOI":"10.1016/j.jpba.2012.07.015","ISSN":"07317085","PMID":"22906691","abstract":"Phytopharmaceuticals are gaining popularity worldwide; however, cases of adverse effects and drug interactions have also increased. One reason is in the high metal content both as ingredients but also as contaminants. Metal monitoring in food, like herbal teas, provides basic information on safety aspects in regulatory processes as well as nutritional values. In the present work, Cd, Pb, K, Na, Ca, Mg, Al, B, Ba, Co, Cr, Cu, Fe, Mn, Zn, Li, Ni, and Mo were determined by inductively coupled plasma spectrometry (ICPS) in 36 samples of Mentha sp. Mint tea bags and loose leaves were randomly obtained from supermarkets, traditional markets, herbal stores, and pharmacies in Tenerife (Canary Islands, Spain). Metal contents varied significantly, dependent on the stores the products were purchased in and on tea packaging (loose leaves versus tea bags). Pb analyses revealed levels (0.65 ± 0.71. mg/kg) below legal limits. The maximum permissible limit for Cd, 0.3. mg/kg, set by the WHO for medicinal plants, was exceeded by 19.44% of the samples (0.22 ± 0.13. mg/kg), but all values were below the limit given in the European Pharmacopoeia for this metal (4. mg/kg). We observed high Al (151.24 ± 162.73. mg/kg) and Li (5.46 ± 3.94. mg/kg) levels. B, Ba, Co, Cr, Cu, Fe, Mn, Ni, Zn, and Mo mean levels were 20.51, 14.15, 0.26, 1.65, 10.65, 406.00, 55.05, 1.72, 33.67, and 0.73. mg/kg, respectively. Mean Ca, Mg, K, and Na were detected in concentrations of 10.32, 3.83, 7.23 and 1.17. g/kg, respectively. In conclusion, metal exposure through herbal mint teas does not seem to be of health concern, as to most of the studied metals, but regulatory limits for Al contents should be imposed. © 2012 Elsevier B.V.","author":[{"dropping-particle":"","family":"Rubio","given":"C.","non-dropping-particle":"","parse-names":false,"suffix":""},{"dropping-particle":"","family":"Lucas","given":"J. R.D.","non-dropping-particle":"","parse-names":false,"suffix":""},{"dropping-particle":"","family":"Gutiérrez","given":"A. J.","non-dropping-particle":"","parse-names":false,"suffix":""},{"dropping-particle":"","family":"Glez-Weller","given":"D.","non-dropping-particle":"","parse-names":false,"suffix":""},{"dropping-particle":"","family":"Pérez Marrero","given":"B.","non-dropping-particle":"","parse-names":false,"suffix":""},{"dropping-particle":"","family":"Caballero","given":"J. M.","non-dropping-particle":"","parse-names":false,"suffix":""},{"dropping-particle":"","family":"Revert","given":"C.","non-dropping-particle":"","parse-names":false,"suffix":""},{"dropping-particle":"","family":"Hardisson","given":"A.","non-dropping-particle":"","parse-names":false,"suffix":""}],"container-title":"Journal of Pharmaceutical and Biomedical Analysis","id":"ITEM-2","issued":{"date-parts":[["2012"]]},"page":"11-17","publisher":"Elsevier B.V.","title":"Evaluation of metal concentrations in mentha herbal teas (Mentha piperita, Mentha pulegium and Mentha species) by inductively coupled plasma spectrometry","type":"article-journal","volume":"71"},"uris":["http://www.mendeley.com/documents/?uuid=c1b3b26a-0101-4ac4-84ba-3e70ae0a66ef"]}],"mendeley":{"formattedCitation":"(Luis et al., 2014; Rubio et al., 2012)","manualFormatting":"(Luis et al., [33] and Rubio et al., ","plainTextFormattedCitation":"(Luis et al., 2014; Rubio et al., 2012)","previouslyFormattedCitation":"(Luis et al., 2014; Rubio et al., 2012)"},"properties":{"noteIndex":0},"schema":"https://github.com/citation-style-language/schema/raw/master/csl-citation.json"}</w:instrText>
      </w:r>
      <w:r w:rsidRPr="00F87302">
        <w:rPr>
          <w:rFonts w:ascii="Times New Roman" w:eastAsia="MS Mincho" w:hAnsi="Times New Roman"/>
          <w:sz w:val="20"/>
          <w:szCs w:val="20"/>
          <w:lang w:bidi="ar-SA"/>
        </w:rPr>
        <w:fldChar w:fldCharType="separate"/>
      </w:r>
      <w:r w:rsidRPr="00F87302">
        <w:rPr>
          <w:rFonts w:ascii="Times New Roman" w:eastAsia="MS Mincho" w:hAnsi="Times New Roman"/>
          <w:sz w:val="20"/>
          <w:szCs w:val="20"/>
          <w:lang w:bidi="ar-SA"/>
        </w:rPr>
        <w:t xml:space="preserve">Luis et al. [33] and Rubio et al. </w:t>
      </w:r>
      <w:r w:rsidRPr="00F87302">
        <w:rPr>
          <w:rFonts w:ascii="Times New Roman" w:eastAsia="MS Mincho" w:hAnsi="Times New Roman"/>
          <w:sz w:val="20"/>
          <w:szCs w:val="20"/>
          <w:lang w:bidi="ar-SA"/>
        </w:rPr>
        <w:fldChar w:fldCharType="end"/>
      </w:r>
      <w:r w:rsidRPr="00F87302">
        <w:rPr>
          <w:rFonts w:ascii="Times New Roman" w:eastAsia="MS Mincho" w:hAnsi="Times New Roman"/>
          <w:sz w:val="20"/>
          <w:szCs w:val="20"/>
          <w:lang w:bidi="ar-SA"/>
        </w:rPr>
        <w:t xml:space="preserve">[34]. </w:t>
      </w:r>
      <w:r w:rsidRPr="00F87302">
        <w:rPr>
          <w:rFonts w:ascii="Times New Roman" w:eastAsia="MS Mincho" w:hAnsi="Times New Roman"/>
          <w:sz w:val="20"/>
          <w:szCs w:val="20"/>
          <w:lang w:val="en-MY" w:bidi="ar-SA"/>
        </w:rPr>
        <w:t xml:space="preserve">Next, </w:t>
      </w:r>
      <w:r w:rsidRPr="00F87302">
        <w:rPr>
          <w:rFonts w:ascii="Times New Roman" w:eastAsia="MS Mincho" w:hAnsi="Times New Roman"/>
          <w:sz w:val="20"/>
          <w:szCs w:val="20"/>
          <w:lang w:bidi="ar-SA"/>
        </w:rPr>
        <w:t xml:space="preserve">25 g of </w:t>
      </w:r>
      <w:r w:rsidRPr="00F87302">
        <w:rPr>
          <w:rFonts w:ascii="Times New Roman" w:eastAsia="MS Mincho" w:hAnsi="Times New Roman"/>
          <w:i/>
          <w:iCs/>
          <w:sz w:val="20"/>
          <w:szCs w:val="20"/>
          <w:lang w:bidi="ar-SA"/>
        </w:rPr>
        <w:t>E.</w:t>
      </w:r>
      <w:r w:rsidRPr="00F87302">
        <w:rPr>
          <w:rFonts w:ascii="Times New Roman" w:eastAsia="MS Mincho" w:hAnsi="Times New Roman"/>
          <w:i/>
          <w:sz w:val="20"/>
          <w:szCs w:val="20"/>
          <w:lang w:bidi="ar-SA"/>
        </w:rPr>
        <w:t xml:space="preserve"> denticulatum</w:t>
      </w:r>
      <w:r w:rsidRPr="00F87302">
        <w:rPr>
          <w:rFonts w:ascii="Times New Roman" w:eastAsia="MS Mincho" w:hAnsi="Times New Roman"/>
          <w:sz w:val="20"/>
          <w:szCs w:val="20"/>
          <w:lang w:bidi="ar-SA"/>
        </w:rPr>
        <w:t xml:space="preserve"> was oven-dried at 70 </w:t>
      </w:r>
      <w:r w:rsidRPr="00F87302">
        <w:rPr>
          <w:rFonts w:ascii="Times New Roman" w:eastAsia="MS Mincho" w:hAnsi="Times New Roman"/>
          <w:bCs/>
          <w:sz w:val="20"/>
          <w:szCs w:val="20"/>
          <w:lang w:bidi="ar-SA"/>
        </w:rPr>
        <w:t>℃</w:t>
      </w:r>
      <w:r w:rsidRPr="00F87302">
        <w:rPr>
          <w:rFonts w:ascii="Times New Roman" w:eastAsia="MS Mincho" w:hAnsi="Times New Roman"/>
          <w:sz w:val="20"/>
          <w:szCs w:val="20"/>
          <w:lang w:bidi="ar-SA"/>
        </w:rPr>
        <w:t xml:space="preserve"> for 12 hours. Then, the sample was burned in </w:t>
      </w:r>
      <w:r w:rsidRPr="00F87302">
        <w:rPr>
          <w:rFonts w:ascii="Times New Roman" w:eastAsia="MS Mincho" w:hAnsi="Times New Roman"/>
          <w:sz w:val="20"/>
          <w:szCs w:val="20"/>
          <w:lang w:val="en-MY" w:bidi="ar-SA"/>
        </w:rPr>
        <w:t xml:space="preserve">a </w:t>
      </w:r>
      <w:r w:rsidRPr="00F87302">
        <w:rPr>
          <w:rFonts w:ascii="Times New Roman" w:eastAsia="MS Mincho" w:hAnsi="Times New Roman"/>
          <w:sz w:val="20"/>
          <w:szCs w:val="20"/>
          <w:lang w:bidi="ar-SA"/>
        </w:rPr>
        <w:t xml:space="preserve">furnace at 550 </w:t>
      </w:r>
      <w:r w:rsidRPr="00F87302">
        <w:rPr>
          <w:rFonts w:ascii="Times New Roman" w:eastAsia="MS Mincho" w:hAnsi="Times New Roman"/>
          <w:bCs/>
          <w:sz w:val="20"/>
          <w:szCs w:val="20"/>
          <w:lang w:bidi="ar-SA"/>
        </w:rPr>
        <w:t>℃</w:t>
      </w:r>
      <w:r w:rsidRPr="00F87302">
        <w:rPr>
          <w:rFonts w:ascii="Times New Roman" w:eastAsia="MS Mincho" w:hAnsi="Times New Roman"/>
          <w:sz w:val="20"/>
          <w:szCs w:val="20"/>
          <w:lang w:bidi="ar-SA"/>
        </w:rPr>
        <w:t xml:space="preserve"> for 20 hours to remove the organic matter. The ash of the sample was digested in 2 mL of HNO</w:t>
      </w:r>
      <w:r w:rsidRPr="00F87302">
        <w:rPr>
          <w:rFonts w:ascii="Times New Roman" w:eastAsia="MS Mincho" w:hAnsi="Times New Roman"/>
          <w:sz w:val="20"/>
          <w:szCs w:val="20"/>
          <w:vertAlign w:val="subscript"/>
          <w:lang w:bidi="ar-SA"/>
        </w:rPr>
        <w:t>3</w:t>
      </w:r>
      <w:r w:rsidRPr="00F87302">
        <w:rPr>
          <w:rFonts w:ascii="Times New Roman" w:eastAsia="MS Mincho" w:hAnsi="Times New Roman"/>
          <w:sz w:val="20"/>
          <w:szCs w:val="20"/>
          <w:lang w:bidi="ar-SA"/>
        </w:rPr>
        <w:t xml:space="preserve"> (v/v) for 18 hours. The digested solution was filtered with a filter paper (Whatman no 2) and transferred into a 50 mL test tube. The solution was meshed up to 30 mL with deion</w:t>
      </w:r>
      <w:r w:rsidRPr="00F87302">
        <w:rPr>
          <w:rFonts w:ascii="Times New Roman" w:eastAsia="MS Mincho" w:hAnsi="Times New Roman"/>
          <w:sz w:val="20"/>
          <w:szCs w:val="20"/>
          <w:lang w:val="en-MY" w:bidi="ar-SA"/>
        </w:rPr>
        <w:t>is</w:t>
      </w:r>
      <w:r w:rsidRPr="00F87302">
        <w:rPr>
          <w:rFonts w:ascii="Times New Roman" w:eastAsia="MS Mincho" w:hAnsi="Times New Roman"/>
          <w:sz w:val="20"/>
          <w:szCs w:val="20"/>
          <w:lang w:bidi="ar-SA"/>
        </w:rPr>
        <w:t>ed water. The atomic absorption spectrometer (AAS) Thermo Scientific model iCE 3300 was used to determine the Pb(II) ion concentrations.</w:t>
      </w:r>
    </w:p>
    <w:p w14:paraId="27EC2A92" w14:textId="77777777" w:rsidR="002C60A1" w:rsidRPr="00F87302" w:rsidRDefault="002C60A1" w:rsidP="002C60A1">
      <w:pPr>
        <w:autoSpaceDE w:val="0"/>
        <w:autoSpaceDN w:val="0"/>
        <w:adjustRightInd w:val="0"/>
        <w:spacing w:after="0"/>
        <w:jc w:val="both"/>
        <w:rPr>
          <w:rFonts w:ascii="Times New Roman" w:eastAsia="MS Mincho" w:hAnsi="Times New Roman"/>
          <w:sz w:val="20"/>
          <w:szCs w:val="20"/>
          <w:lang w:bidi="ar-SA"/>
        </w:rPr>
      </w:pPr>
    </w:p>
    <w:p w14:paraId="2A29FAB5" w14:textId="77777777" w:rsidR="002C60A1" w:rsidRPr="00F87302" w:rsidRDefault="002C60A1" w:rsidP="002C60A1">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bookmarkStart w:id="2" w:name="_Toc362166996"/>
      <w:bookmarkStart w:id="3" w:name="_Toc361714568"/>
      <w:bookmarkStart w:id="4" w:name="_Toc365535247"/>
      <w:bookmarkStart w:id="5" w:name="_Toc361606648"/>
      <w:r w:rsidRPr="00F87302">
        <w:rPr>
          <w:rFonts w:ascii="Times New Roman" w:eastAsia="Calibri" w:hAnsi="Times New Roman"/>
          <w:b/>
          <w:iCs/>
          <w:sz w:val="20"/>
          <w:szCs w:val="20"/>
          <w:lang w:eastAsia="ja-JP" w:bidi="ar-SA"/>
        </w:rPr>
        <w:t>Batch biosorption experiments</w:t>
      </w:r>
      <w:bookmarkEnd w:id="2"/>
      <w:bookmarkEnd w:id="3"/>
      <w:bookmarkEnd w:id="4"/>
      <w:bookmarkEnd w:id="5"/>
    </w:p>
    <w:p w14:paraId="2783B92A" w14:textId="77777777" w:rsidR="002C60A1" w:rsidRPr="00F87302" w:rsidRDefault="002C60A1" w:rsidP="002C60A1">
      <w:pPr>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The batch biosorption experiments were </w:t>
      </w:r>
      <w:r w:rsidRPr="00F87302">
        <w:rPr>
          <w:rFonts w:ascii="Times New Roman" w:eastAsia="MS Mincho" w:hAnsi="Times New Roman"/>
          <w:sz w:val="20"/>
          <w:szCs w:val="20"/>
          <w:lang w:val="en-MY" w:bidi="ar-SA"/>
        </w:rPr>
        <w:t>established</w:t>
      </w:r>
      <w:r w:rsidRPr="00F87302">
        <w:rPr>
          <w:rFonts w:ascii="Times New Roman" w:eastAsia="MS Mincho" w:hAnsi="Times New Roman"/>
          <w:sz w:val="20"/>
          <w:szCs w:val="20"/>
          <w:lang w:bidi="ar-SA"/>
        </w:rPr>
        <w:t xml:space="preserve"> using a magnetic stirrer (120 - 180 min) at 120 rpm in a 250 mL beaker. </w:t>
      </w:r>
      <w:r w:rsidRPr="00F87302">
        <w:rPr>
          <w:rFonts w:ascii="Times New Roman" w:eastAsia="MS Mincho" w:hAnsi="Times New Roman"/>
          <w:sz w:val="20"/>
          <w:szCs w:val="20"/>
          <w:lang w:val="en-MY" w:bidi="ar-SA"/>
        </w:rPr>
        <w:t xml:space="preserve">Next, </w:t>
      </w:r>
      <w:r w:rsidRPr="00F87302">
        <w:rPr>
          <w:rFonts w:ascii="Times New Roman" w:eastAsia="MS Mincho" w:hAnsi="Times New Roman"/>
          <w:sz w:val="20"/>
          <w:szCs w:val="20"/>
          <w:lang w:bidi="ar-SA"/>
        </w:rPr>
        <w:t xml:space="preserve">50 mL of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standard solution was introduced in</w:t>
      </w:r>
      <w:r w:rsidRPr="00F87302">
        <w:rPr>
          <w:rFonts w:ascii="Times New Roman" w:eastAsia="MS Mincho" w:hAnsi="Times New Roman"/>
          <w:sz w:val="20"/>
          <w:szCs w:val="20"/>
          <w:lang w:val="en-MY" w:bidi="ar-SA"/>
        </w:rPr>
        <w:t>to</w:t>
      </w:r>
      <w:r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val="en-MY" w:bidi="ar-SA"/>
        </w:rPr>
        <w:t>the</w:t>
      </w:r>
      <w:r w:rsidRPr="00F87302">
        <w:rPr>
          <w:rFonts w:ascii="Times New Roman" w:eastAsia="MS Mincho" w:hAnsi="Times New Roman"/>
          <w:sz w:val="20"/>
          <w:szCs w:val="20"/>
          <w:lang w:bidi="ar-SA"/>
        </w:rPr>
        <w:t xml:space="preserve"> beaker and biosorbent </w:t>
      </w:r>
      <w:r w:rsidRPr="00F87302">
        <w:rPr>
          <w:rFonts w:ascii="Times New Roman" w:eastAsia="MS Mincho" w:hAnsi="Times New Roman"/>
          <w:sz w:val="20"/>
          <w:szCs w:val="20"/>
          <w:lang w:val="en-MY" w:bidi="ar-SA"/>
        </w:rPr>
        <w:t xml:space="preserve">was </w:t>
      </w:r>
      <w:r w:rsidRPr="00F87302">
        <w:rPr>
          <w:rFonts w:ascii="Times New Roman" w:eastAsia="MS Mincho" w:hAnsi="Times New Roman"/>
          <w:sz w:val="20"/>
          <w:szCs w:val="20"/>
          <w:lang w:bidi="ar-SA"/>
        </w:rPr>
        <w:t>added appropriately. The different parameters were organ</w:t>
      </w:r>
      <w:r w:rsidRPr="00F87302">
        <w:rPr>
          <w:rFonts w:ascii="Times New Roman" w:eastAsia="MS Mincho" w:hAnsi="Times New Roman"/>
          <w:sz w:val="20"/>
          <w:szCs w:val="20"/>
          <w:lang w:val="en-MY" w:bidi="ar-SA"/>
        </w:rPr>
        <w:t>is</w:t>
      </w:r>
      <w:r w:rsidRPr="00F87302">
        <w:rPr>
          <w:rFonts w:ascii="Times New Roman" w:eastAsia="MS Mincho" w:hAnsi="Times New Roman"/>
          <w:sz w:val="20"/>
          <w:szCs w:val="20"/>
          <w:lang w:bidi="ar-SA"/>
        </w:rPr>
        <w:t>ed as follows</w:t>
      </w:r>
      <w:r w:rsidRPr="00F87302">
        <w:rPr>
          <w:rFonts w:ascii="Times New Roman" w:eastAsia="MS Mincho" w:hAnsi="Times New Roman"/>
          <w:sz w:val="20"/>
          <w:szCs w:val="20"/>
          <w:lang w:val="en-MY" w:bidi="ar-SA"/>
        </w:rPr>
        <w:t>:</w:t>
      </w:r>
      <w:r w:rsidRPr="00F87302">
        <w:rPr>
          <w:rFonts w:ascii="Times New Roman" w:eastAsia="MS Mincho" w:hAnsi="Times New Roman"/>
          <w:sz w:val="20"/>
          <w:szCs w:val="20"/>
          <w:lang w:bidi="ar-SA"/>
        </w:rPr>
        <w:t xml:space="preserve"> solution pH (2-8), contact time (0-150 minutes), initial Pb(II) ion concentration (50-2000 mg/L). The Pb (II) ion biosorption characteristics were evaluated using a biomass weight of 0.5</w:t>
      </w:r>
      <w:r w:rsidRPr="00F87302">
        <w:rPr>
          <w:rFonts w:ascii="Times New Roman" w:eastAsia="MS Mincho" w:hAnsi="Times New Roman"/>
          <w:sz w:val="20"/>
          <w:szCs w:val="20"/>
          <w:lang w:val="en-MY" w:bidi="ar-SA"/>
        </w:rPr>
        <w:t xml:space="preserve"> </w:t>
      </w:r>
      <w:r w:rsidRPr="00F87302">
        <w:rPr>
          <w:rFonts w:ascii="Times New Roman" w:eastAsia="MS Mincho" w:hAnsi="Times New Roman"/>
          <w:sz w:val="20"/>
          <w:szCs w:val="20"/>
          <w:lang w:bidi="ar-SA"/>
        </w:rPr>
        <w:t xml:space="preserve">g. The solution was separated </w:t>
      </w:r>
      <w:r w:rsidRPr="00F87302">
        <w:rPr>
          <w:rFonts w:ascii="Times New Roman" w:eastAsia="MS Mincho" w:hAnsi="Times New Roman"/>
          <w:sz w:val="20"/>
          <w:szCs w:val="20"/>
          <w:lang w:val="en-MY" w:bidi="ar-SA"/>
        </w:rPr>
        <w:t>using a</w:t>
      </w:r>
      <w:r w:rsidRPr="00F87302">
        <w:rPr>
          <w:rFonts w:ascii="Times New Roman" w:eastAsia="MS Mincho" w:hAnsi="Times New Roman"/>
          <w:sz w:val="20"/>
          <w:szCs w:val="20"/>
          <w:lang w:bidi="ar-SA"/>
        </w:rPr>
        <w:t xml:space="preserve"> Whatman filter paper No 2 or centrifuging and decanting.</w:t>
      </w:r>
    </w:p>
    <w:p w14:paraId="4E3C1CE0" w14:textId="77777777" w:rsidR="002C60A1" w:rsidRPr="00F87302" w:rsidRDefault="002C60A1" w:rsidP="00C606EC">
      <w:pPr>
        <w:keepNext/>
        <w:keepLines/>
        <w:tabs>
          <w:tab w:val="left" w:pos="1350"/>
        </w:tabs>
        <w:spacing w:after="0"/>
        <w:jc w:val="both"/>
        <w:outlineLvl w:val="1"/>
        <w:rPr>
          <w:rFonts w:ascii="Times New Roman" w:eastAsia="Calibri" w:hAnsi="Times New Roman"/>
          <w:b/>
          <w:iCs/>
          <w:sz w:val="20"/>
          <w:szCs w:val="20"/>
          <w:lang w:eastAsia="ja-JP" w:bidi="ar-SA"/>
        </w:rPr>
      </w:pPr>
      <w:bookmarkStart w:id="6" w:name="_Toc365535248"/>
      <w:bookmarkStart w:id="7" w:name="_Toc362166997"/>
      <w:bookmarkStart w:id="8" w:name="_Toc361606649"/>
      <w:bookmarkStart w:id="9" w:name="_Toc361714569"/>
      <w:r w:rsidRPr="00F87302">
        <w:rPr>
          <w:rFonts w:ascii="Times New Roman" w:eastAsia="Calibri" w:hAnsi="Times New Roman"/>
          <w:b/>
          <w:iCs/>
          <w:sz w:val="20"/>
          <w:szCs w:val="20"/>
          <w:lang w:eastAsia="ja-JP" w:bidi="ar-SA"/>
        </w:rPr>
        <w:t xml:space="preserve">Optimum pH for </w:t>
      </w:r>
      <w:bookmarkEnd w:id="6"/>
      <w:bookmarkEnd w:id="7"/>
      <w:bookmarkEnd w:id="8"/>
      <w:bookmarkEnd w:id="9"/>
      <w:r w:rsidRPr="00F87302">
        <w:rPr>
          <w:rFonts w:ascii="Times New Roman" w:eastAsia="Calibri" w:hAnsi="Times New Roman"/>
          <w:b/>
          <w:iCs/>
          <w:sz w:val="20"/>
          <w:szCs w:val="20"/>
          <w:lang w:eastAsia="ja-JP" w:bidi="ar-SA"/>
        </w:rPr>
        <w:t xml:space="preserve">Pb(II) biosorption </w:t>
      </w:r>
    </w:p>
    <w:p w14:paraId="1C5F379D" w14:textId="77777777" w:rsidR="002C60A1" w:rsidRDefault="002C60A1" w:rsidP="002C60A1">
      <w:pPr>
        <w:keepNext/>
        <w:keepLines/>
        <w:tabs>
          <w:tab w:val="left" w:pos="1350"/>
        </w:tabs>
        <w:spacing w:after="0"/>
        <w:jc w:val="both"/>
        <w:outlineLvl w:val="1"/>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The Pb(II) biosorption optimum pH was </w:t>
      </w:r>
      <w:r w:rsidRPr="00F87302">
        <w:rPr>
          <w:rFonts w:ascii="Times New Roman" w:eastAsia="MS Mincho" w:hAnsi="Times New Roman"/>
          <w:sz w:val="20"/>
          <w:szCs w:val="20"/>
          <w:lang w:val="en-MY" w:bidi="ar-SA"/>
        </w:rPr>
        <w:t>established</w:t>
      </w:r>
      <w:r w:rsidRPr="00F87302">
        <w:rPr>
          <w:rFonts w:ascii="Times New Roman" w:eastAsia="MS Mincho" w:hAnsi="Times New Roman"/>
          <w:sz w:val="20"/>
          <w:szCs w:val="20"/>
          <w:lang w:bidi="ar-SA"/>
        </w:rPr>
        <w:t xml:space="preserve"> by adding 50 mL solutions of 50 mg/L Pb (II) ions into a 100 mL centrifuge tube with 0.5 g of dry seaweed. The samples</w:t>
      </w:r>
      <w:r w:rsidRPr="00F87302">
        <w:rPr>
          <w:rFonts w:ascii="Times New Roman" w:eastAsia="MS Mincho" w:hAnsi="Times New Roman"/>
          <w:sz w:val="20"/>
          <w:szCs w:val="20"/>
          <w:lang w:val="en-MY" w:bidi="ar-SA"/>
        </w:rPr>
        <w:t>, which were</w:t>
      </w:r>
      <w:r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val="en-MY" w:bidi="ar-SA"/>
        </w:rPr>
        <w:t xml:space="preserve">of </w:t>
      </w:r>
      <w:r w:rsidRPr="00F87302">
        <w:rPr>
          <w:rFonts w:ascii="Times New Roman" w:eastAsia="MS Mincho" w:hAnsi="Times New Roman"/>
          <w:sz w:val="20"/>
          <w:szCs w:val="20"/>
          <w:lang w:bidi="ar-SA"/>
        </w:rPr>
        <w:t>varying pH (2.0 to 8.0)</w:t>
      </w:r>
      <w:r w:rsidRPr="00F87302">
        <w:rPr>
          <w:rFonts w:ascii="Times New Roman" w:eastAsia="MS Mincho" w:hAnsi="Times New Roman"/>
          <w:sz w:val="20"/>
          <w:szCs w:val="20"/>
          <w:lang w:val="en-MY" w:bidi="ar-SA"/>
        </w:rPr>
        <w:t>,</w:t>
      </w:r>
      <w:r w:rsidRPr="00F87302">
        <w:rPr>
          <w:rFonts w:ascii="Times New Roman" w:eastAsia="MS Mincho" w:hAnsi="Times New Roman"/>
          <w:sz w:val="20"/>
          <w:szCs w:val="20"/>
          <w:lang w:bidi="ar-SA"/>
        </w:rPr>
        <w:t xml:space="preserve"> were adjusted using 0.1 M NaOH or 0.1 M HNO</w:t>
      </w:r>
      <w:r w:rsidRPr="00F87302">
        <w:rPr>
          <w:rFonts w:ascii="Times New Roman" w:eastAsia="MS Mincho" w:hAnsi="Times New Roman"/>
          <w:sz w:val="20"/>
          <w:szCs w:val="20"/>
          <w:vertAlign w:val="subscript"/>
          <w:lang w:bidi="ar-SA"/>
        </w:rPr>
        <w:t>3</w:t>
      </w:r>
      <w:r w:rsidRPr="00F87302">
        <w:rPr>
          <w:rFonts w:ascii="Times New Roman" w:eastAsia="MS Mincho" w:hAnsi="Times New Roman"/>
          <w:sz w:val="20"/>
          <w:szCs w:val="20"/>
          <w:lang w:bidi="ar-SA"/>
        </w:rPr>
        <w:t xml:space="preserve"> [35]. The mixtures were stirred for 180 minutes with a magnetic stirrer at room temperature. The supernatant was collected after centrifuging the mixture using the Gallen Kamp Centrifuge 200 at the lowest rate for 10 minutes. The AAS was used to determine the Pb(II) ion concentration in the supernatant. The analysis of each sample was performed in a duplication setting.</w:t>
      </w:r>
    </w:p>
    <w:p w14:paraId="736252D6" w14:textId="77777777" w:rsidR="002C60A1" w:rsidRDefault="002C60A1" w:rsidP="001D7C35">
      <w:pPr>
        <w:keepNext/>
        <w:keepLines/>
        <w:tabs>
          <w:tab w:val="left" w:pos="1350"/>
        </w:tabs>
        <w:spacing w:after="0"/>
        <w:jc w:val="both"/>
        <w:outlineLvl w:val="1"/>
        <w:rPr>
          <w:rFonts w:ascii="Times New Roman" w:eastAsia="MS Mincho" w:hAnsi="Times New Roman"/>
          <w:sz w:val="20"/>
          <w:szCs w:val="20"/>
          <w:lang w:bidi="ar-SA"/>
        </w:rPr>
      </w:pPr>
    </w:p>
    <w:p w14:paraId="07853567" w14:textId="77777777" w:rsidR="002C60A1" w:rsidRPr="00F87302" w:rsidRDefault="002C60A1" w:rsidP="002C60A1">
      <w:pPr>
        <w:keepNext/>
        <w:keepLines/>
        <w:tabs>
          <w:tab w:val="left" w:pos="1350"/>
        </w:tabs>
        <w:spacing w:after="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t>Optimum contact time for Pb(II)</w:t>
      </w:r>
      <w:r w:rsidRPr="00F87302">
        <w:rPr>
          <w:rFonts w:ascii="Times New Roman" w:eastAsia="Calibri" w:hAnsi="Times New Roman"/>
          <w:b/>
          <w:iCs/>
          <w:sz w:val="20"/>
          <w:szCs w:val="20"/>
          <w:vertAlign w:val="superscript"/>
          <w:lang w:eastAsia="ja-JP" w:bidi="ar-SA"/>
        </w:rPr>
        <w:t xml:space="preserve"> </w:t>
      </w:r>
      <w:r w:rsidRPr="00F87302">
        <w:rPr>
          <w:rFonts w:ascii="Times New Roman" w:eastAsia="Calibri" w:hAnsi="Times New Roman"/>
          <w:b/>
          <w:iCs/>
          <w:sz w:val="20"/>
          <w:szCs w:val="20"/>
          <w:lang w:eastAsia="ja-JP" w:bidi="ar-SA"/>
        </w:rPr>
        <w:t>adsorption</w:t>
      </w:r>
    </w:p>
    <w:p w14:paraId="1C5E53F0" w14:textId="1C3DDE03" w:rsidR="002C60A1" w:rsidRDefault="002C60A1" w:rsidP="002C60A1">
      <w:pPr>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The optimum contact time for Pb(II)</w:t>
      </w:r>
      <w:r w:rsidRPr="00F87302">
        <w:rPr>
          <w:rFonts w:ascii="Times New Roman" w:eastAsia="MS Mincho" w:hAnsi="Times New Roman"/>
          <w:sz w:val="20"/>
          <w:szCs w:val="20"/>
          <w:vertAlign w:val="superscript"/>
          <w:lang w:bidi="ar-SA"/>
        </w:rPr>
        <w:t xml:space="preserve"> </w:t>
      </w:r>
      <w:r w:rsidRPr="00F87302">
        <w:rPr>
          <w:rFonts w:ascii="Times New Roman" w:eastAsia="MS Mincho" w:hAnsi="Times New Roman"/>
          <w:sz w:val="20"/>
          <w:szCs w:val="20"/>
          <w:lang w:bidi="ar-SA"/>
        </w:rPr>
        <w:t xml:space="preserve">adsorption was determined at optimum pH by adding 0.5 g biomass to 50 mL of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50 mg/L metal solution. The mixture was stirred for 180 min using a magnetic stirrer at moderate speed at room temperature. At 5, 10, 30, 60, 120, and 180 min, the samples were removed, centrifuged, decanted</w:t>
      </w:r>
      <w:r w:rsidRPr="00F87302">
        <w:rPr>
          <w:rFonts w:ascii="Times New Roman" w:eastAsia="MS Mincho" w:hAnsi="Times New Roman"/>
          <w:sz w:val="20"/>
          <w:szCs w:val="20"/>
          <w:lang w:val="en-MY" w:bidi="ar-SA"/>
        </w:rPr>
        <w:t>.</w:t>
      </w:r>
      <w:r w:rsidRPr="00F87302">
        <w:rPr>
          <w:rFonts w:ascii="Times New Roman" w:eastAsia="MS Mincho" w:hAnsi="Times New Roman"/>
          <w:sz w:val="20"/>
          <w:szCs w:val="20"/>
          <w:lang w:bidi="ar-SA"/>
        </w:rPr>
        <w:t xml:space="preserve">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supernatant was collected and stored for AAS analysis. The samples were prepared in duplicate.</w:t>
      </w:r>
    </w:p>
    <w:p w14:paraId="0C7AE6CB" w14:textId="77777777" w:rsidR="001D7C35" w:rsidRPr="00F87302" w:rsidRDefault="001D7C35" w:rsidP="002C60A1">
      <w:pPr>
        <w:autoSpaceDE w:val="0"/>
        <w:autoSpaceDN w:val="0"/>
        <w:adjustRightInd w:val="0"/>
        <w:spacing w:after="0"/>
        <w:jc w:val="both"/>
        <w:rPr>
          <w:rFonts w:ascii="Times New Roman" w:eastAsia="MS Mincho" w:hAnsi="Times New Roman"/>
          <w:sz w:val="20"/>
          <w:szCs w:val="20"/>
          <w:lang w:bidi="ar-SA"/>
        </w:rPr>
      </w:pPr>
    </w:p>
    <w:p w14:paraId="6E3D2966" w14:textId="77777777" w:rsidR="001D7C35" w:rsidRPr="00F87302" w:rsidRDefault="001D7C35" w:rsidP="001D7C35">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bookmarkStart w:id="10" w:name="_Toc361714571"/>
      <w:bookmarkStart w:id="11" w:name="_Toc362166999"/>
      <w:bookmarkStart w:id="12" w:name="_Toc361606651"/>
      <w:bookmarkStart w:id="13" w:name="_Toc365535251"/>
      <w:r w:rsidRPr="00F87302">
        <w:rPr>
          <w:rFonts w:ascii="Times New Roman" w:eastAsia="Calibri" w:hAnsi="Times New Roman"/>
          <w:b/>
          <w:iCs/>
          <w:sz w:val="20"/>
          <w:szCs w:val="20"/>
          <w:lang w:eastAsia="ja-JP" w:bidi="ar-SA"/>
        </w:rPr>
        <w:t>The effect of Pb(II)</w:t>
      </w:r>
      <w:r w:rsidRPr="00F87302">
        <w:rPr>
          <w:rFonts w:ascii="Times New Roman" w:eastAsia="Calibri" w:hAnsi="Times New Roman"/>
          <w:b/>
          <w:iCs/>
          <w:sz w:val="20"/>
          <w:szCs w:val="20"/>
          <w:vertAlign w:val="superscript"/>
          <w:lang w:eastAsia="ja-JP" w:bidi="ar-SA"/>
        </w:rPr>
        <w:t xml:space="preserve"> </w:t>
      </w:r>
      <w:r w:rsidRPr="00F87302">
        <w:rPr>
          <w:rFonts w:ascii="Times New Roman" w:eastAsia="Calibri" w:hAnsi="Times New Roman"/>
          <w:b/>
          <w:iCs/>
          <w:sz w:val="20"/>
          <w:szCs w:val="20"/>
          <w:lang w:eastAsia="ja-JP" w:bidi="ar-SA"/>
        </w:rPr>
        <w:t>ion concentration on biosorption</w:t>
      </w:r>
      <w:bookmarkEnd w:id="10"/>
      <w:bookmarkEnd w:id="11"/>
      <w:bookmarkEnd w:id="12"/>
      <w:bookmarkEnd w:id="13"/>
    </w:p>
    <w:p w14:paraId="3B6A1B3A" w14:textId="77777777" w:rsidR="001D7C35" w:rsidRPr="00F87302" w:rsidRDefault="001D7C35" w:rsidP="001D7C35">
      <w:pPr>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The effect of Pb(II)</w:t>
      </w:r>
      <w:r w:rsidRPr="00F87302">
        <w:rPr>
          <w:rFonts w:ascii="Times New Roman" w:eastAsia="MS Mincho" w:hAnsi="Times New Roman"/>
          <w:sz w:val="20"/>
          <w:szCs w:val="20"/>
          <w:vertAlign w:val="superscript"/>
          <w:lang w:bidi="ar-SA"/>
        </w:rPr>
        <w:t xml:space="preserve"> </w:t>
      </w:r>
      <w:r w:rsidRPr="00F87302">
        <w:rPr>
          <w:rFonts w:ascii="Times New Roman" w:eastAsia="MS Mincho" w:hAnsi="Times New Roman"/>
          <w:sz w:val="20"/>
          <w:szCs w:val="20"/>
          <w:lang w:bidi="ar-SA"/>
        </w:rPr>
        <w:t>ion concentration on biosorption was investigated by mixing 0.5 g of seaweed and 50 mL of solutions of known concentrations at room temperature. The Pb(II) ion concentration</w:t>
      </w:r>
      <w:r w:rsidRPr="00F87302">
        <w:rPr>
          <w:rFonts w:ascii="Times New Roman" w:eastAsia="MS Mincho" w:hAnsi="Times New Roman"/>
          <w:sz w:val="20"/>
          <w:szCs w:val="20"/>
          <w:lang w:val="en-MY" w:bidi="ar-SA"/>
        </w:rPr>
        <w:t xml:space="preserve"> levels </w:t>
      </w:r>
      <w:r w:rsidRPr="00F87302">
        <w:rPr>
          <w:rFonts w:ascii="Times New Roman" w:eastAsia="MS Mincho" w:hAnsi="Times New Roman"/>
          <w:sz w:val="20"/>
          <w:szCs w:val="20"/>
          <w:lang w:bidi="ar-SA"/>
        </w:rPr>
        <w:t>w</w:t>
      </w:r>
      <w:r w:rsidRPr="00F87302">
        <w:rPr>
          <w:rFonts w:ascii="Times New Roman" w:eastAsia="MS Mincho" w:hAnsi="Times New Roman"/>
          <w:sz w:val="20"/>
          <w:szCs w:val="20"/>
          <w:lang w:val="en-MY" w:bidi="ar-SA"/>
        </w:rPr>
        <w:t>ere</w:t>
      </w:r>
      <w:r w:rsidRPr="00F87302">
        <w:rPr>
          <w:rFonts w:ascii="Times New Roman" w:eastAsia="MS Mincho" w:hAnsi="Times New Roman"/>
          <w:sz w:val="20"/>
          <w:szCs w:val="20"/>
          <w:lang w:bidi="ar-SA"/>
        </w:rPr>
        <w:t xml:space="preserve"> 50, 100, 250, 500, 1000, 1500</w:t>
      </w:r>
      <w:r w:rsidRPr="00F87302">
        <w:rPr>
          <w:rFonts w:ascii="Times New Roman" w:eastAsia="MS Mincho" w:hAnsi="Times New Roman"/>
          <w:sz w:val="20"/>
          <w:szCs w:val="20"/>
          <w:lang w:val="en-MY" w:bidi="ar-SA"/>
        </w:rPr>
        <w:t>,</w:t>
      </w:r>
      <w:r w:rsidRPr="00F87302">
        <w:rPr>
          <w:rFonts w:ascii="Times New Roman" w:eastAsia="MS Mincho" w:hAnsi="Times New Roman"/>
          <w:sz w:val="20"/>
          <w:szCs w:val="20"/>
          <w:lang w:bidi="ar-SA"/>
        </w:rPr>
        <w:t xml:space="preserve"> and 2000 mg/L. The solution mixture was corrected to the required pH with HNO</w:t>
      </w:r>
      <w:r w:rsidRPr="00F87302">
        <w:rPr>
          <w:rFonts w:ascii="Times New Roman" w:eastAsia="MS Mincho" w:hAnsi="Times New Roman"/>
          <w:sz w:val="20"/>
          <w:szCs w:val="20"/>
          <w:vertAlign w:val="subscript"/>
          <w:lang w:bidi="ar-SA"/>
        </w:rPr>
        <w:t>3</w:t>
      </w:r>
      <w:r w:rsidRPr="00F87302">
        <w:rPr>
          <w:rFonts w:ascii="Times New Roman" w:eastAsia="MS Mincho" w:hAnsi="Times New Roman"/>
          <w:sz w:val="20"/>
          <w:szCs w:val="20"/>
          <w:lang w:bidi="ar-SA"/>
        </w:rPr>
        <w:t xml:space="preserve"> or NaOH solution before </w:t>
      </w:r>
      <w:r w:rsidRPr="00F87302">
        <w:rPr>
          <w:rFonts w:ascii="Times New Roman" w:eastAsia="MS Mincho" w:hAnsi="Times New Roman"/>
          <w:sz w:val="20"/>
          <w:szCs w:val="20"/>
          <w:lang w:val="en-MY" w:bidi="ar-SA"/>
        </w:rPr>
        <w:t xml:space="preserve">it was </w:t>
      </w:r>
      <w:r w:rsidRPr="00F87302">
        <w:rPr>
          <w:rFonts w:ascii="Times New Roman" w:eastAsia="MS Mincho" w:hAnsi="Times New Roman"/>
          <w:sz w:val="20"/>
          <w:szCs w:val="20"/>
          <w:lang w:bidi="ar-SA"/>
        </w:rPr>
        <w:t>stirr</w:t>
      </w:r>
      <w:r w:rsidRPr="00F87302">
        <w:rPr>
          <w:rFonts w:ascii="Times New Roman" w:eastAsia="MS Mincho" w:hAnsi="Times New Roman"/>
          <w:sz w:val="20"/>
          <w:szCs w:val="20"/>
          <w:lang w:val="en-MY" w:bidi="ar-SA"/>
        </w:rPr>
        <w:t xml:space="preserve">ed </w:t>
      </w:r>
      <w:r w:rsidRPr="00F87302">
        <w:rPr>
          <w:rFonts w:ascii="Times New Roman" w:eastAsia="MS Mincho" w:hAnsi="Times New Roman"/>
          <w:sz w:val="20"/>
          <w:szCs w:val="20"/>
          <w:lang w:bidi="ar-SA"/>
        </w:rPr>
        <w:t xml:space="preserve">with a magnetic stirrer at moderate speed and room temperature for 120 minutes. The samples were decanted using a Gallen Kamp Centrifuge 200 centrifuge for 20 minutes. The supernatants were then kept in centrifuge tubes and determined using </w:t>
      </w:r>
      <w:r w:rsidRPr="00F87302">
        <w:rPr>
          <w:rFonts w:ascii="Times New Roman" w:eastAsia="MS Mincho" w:hAnsi="Times New Roman"/>
          <w:sz w:val="20"/>
          <w:szCs w:val="20"/>
          <w:lang w:val="en-MY" w:bidi="ar-SA"/>
        </w:rPr>
        <w:t xml:space="preserve">the </w:t>
      </w:r>
      <w:r w:rsidRPr="00F87302">
        <w:rPr>
          <w:rFonts w:ascii="Times New Roman" w:eastAsia="MS Mincho" w:hAnsi="Times New Roman"/>
          <w:sz w:val="20"/>
          <w:szCs w:val="20"/>
          <w:lang w:bidi="ar-SA"/>
        </w:rPr>
        <w:t>Atomic Absorption Spectrometer (AAS)</w:t>
      </w:r>
      <w:r w:rsidRPr="00F87302">
        <w:rPr>
          <w:rFonts w:ascii="Times New Roman" w:eastAsia="MS Mincho" w:hAnsi="Times New Roman"/>
          <w:sz w:val="20"/>
          <w:szCs w:val="20"/>
          <w:lang w:val="en-MY" w:bidi="ar-SA"/>
        </w:rPr>
        <w:t>. This process was performed</w:t>
      </w:r>
      <w:r w:rsidRPr="00F87302">
        <w:rPr>
          <w:rFonts w:ascii="Times New Roman" w:eastAsia="MS Mincho" w:hAnsi="Times New Roman"/>
          <w:sz w:val="20"/>
          <w:szCs w:val="20"/>
          <w:lang w:bidi="ar-SA"/>
        </w:rPr>
        <w:t xml:space="preserve"> in duplicate. </w:t>
      </w:r>
    </w:p>
    <w:p w14:paraId="43BD6856" w14:textId="77777777" w:rsidR="002C60A1" w:rsidRDefault="002C60A1" w:rsidP="001D7C35">
      <w:pPr>
        <w:keepNext/>
        <w:keepLines/>
        <w:tabs>
          <w:tab w:val="left" w:pos="1350"/>
        </w:tabs>
        <w:spacing w:after="0"/>
        <w:jc w:val="both"/>
        <w:outlineLvl w:val="1"/>
        <w:rPr>
          <w:rFonts w:ascii="Times New Roman" w:eastAsia="Calibri" w:hAnsi="Times New Roman"/>
          <w:b/>
          <w:iCs/>
          <w:sz w:val="20"/>
          <w:szCs w:val="20"/>
          <w:lang w:eastAsia="ja-JP" w:bidi="ar-SA"/>
        </w:rPr>
      </w:pPr>
    </w:p>
    <w:p w14:paraId="07DF62A8" w14:textId="77777777" w:rsidR="001D7C35" w:rsidRPr="00F87302" w:rsidRDefault="001D7C35" w:rsidP="001D7C35">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r w:rsidRPr="00F87302">
        <w:rPr>
          <w:rFonts w:ascii="Times New Roman" w:eastAsia="Calibri" w:hAnsi="Times New Roman"/>
          <w:b/>
          <w:iCs/>
          <w:sz w:val="20"/>
          <w:szCs w:val="20"/>
          <w:lang w:eastAsia="ja-JP" w:bidi="ar-SA"/>
        </w:rPr>
        <w:t>Biosorption models</w:t>
      </w:r>
    </w:p>
    <w:p w14:paraId="1FD869E0" w14:textId="054DFA85" w:rsidR="001D7C35" w:rsidRDefault="001D7C35" w:rsidP="001D7C35">
      <w:pPr>
        <w:tabs>
          <w:tab w:val="left" w:pos="2070"/>
        </w:tabs>
        <w:autoSpaceDE w:val="0"/>
        <w:autoSpaceDN w:val="0"/>
        <w:adjustRightInd w:val="0"/>
        <w:spacing w:after="120"/>
        <w:jc w:val="both"/>
        <w:rPr>
          <w:rFonts w:ascii="Times New Roman" w:eastAsia="MS Mincho" w:hAnsi="Times New Roman"/>
          <w:bCs/>
          <w:iCs/>
          <w:sz w:val="20"/>
          <w:szCs w:val="20"/>
          <w:lang w:bidi="ar-SA"/>
        </w:rPr>
      </w:pPr>
      <w:r w:rsidRPr="00F87302">
        <w:rPr>
          <w:rFonts w:ascii="Times New Roman" w:eastAsia="MS Mincho" w:hAnsi="Times New Roman"/>
          <w:bCs/>
          <w:iCs/>
          <w:sz w:val="20"/>
          <w:szCs w:val="20"/>
          <w:lang w:val="en-MY" w:bidi="ar-SA"/>
        </w:rPr>
        <w:t xml:space="preserve">The </w:t>
      </w:r>
      <w:r w:rsidRPr="00F87302">
        <w:rPr>
          <w:rFonts w:ascii="Times New Roman" w:eastAsia="MS Mincho" w:hAnsi="Times New Roman"/>
          <w:bCs/>
          <w:iCs/>
          <w:sz w:val="20"/>
          <w:szCs w:val="20"/>
          <w:lang w:bidi="ar-SA"/>
        </w:rPr>
        <w:t xml:space="preserve">Langmuir and Freundlich isotherm models were used to calculate Pb(II) biosorption from </w:t>
      </w:r>
      <w:r w:rsidRPr="00F87302">
        <w:rPr>
          <w:rFonts w:ascii="Times New Roman" w:eastAsia="MS Mincho" w:hAnsi="Times New Roman"/>
          <w:bCs/>
          <w:iCs/>
          <w:sz w:val="20"/>
          <w:szCs w:val="20"/>
          <w:lang w:val="en-MY" w:bidi="ar-SA"/>
        </w:rPr>
        <w:t xml:space="preserve">the </w:t>
      </w:r>
      <w:r w:rsidRPr="00F87302">
        <w:rPr>
          <w:rFonts w:ascii="Times New Roman" w:eastAsia="MS Mincho" w:hAnsi="Times New Roman"/>
          <w:bCs/>
          <w:iCs/>
          <w:sz w:val="20"/>
          <w:szCs w:val="20"/>
          <w:lang w:bidi="ar-SA"/>
        </w:rPr>
        <w:t>aqueous solutions. The following is a linear</w:t>
      </w:r>
      <w:r w:rsidRPr="00F87302">
        <w:rPr>
          <w:rFonts w:ascii="Times New Roman" w:eastAsia="MS Mincho" w:hAnsi="Times New Roman"/>
          <w:bCs/>
          <w:iCs/>
          <w:sz w:val="20"/>
          <w:szCs w:val="20"/>
          <w:lang w:val="en-MY" w:bidi="ar-SA"/>
        </w:rPr>
        <w:t>is</w:t>
      </w:r>
      <w:r w:rsidRPr="00F87302">
        <w:rPr>
          <w:rFonts w:ascii="Times New Roman" w:eastAsia="MS Mincho" w:hAnsi="Times New Roman"/>
          <w:bCs/>
          <w:iCs/>
          <w:sz w:val="20"/>
          <w:szCs w:val="20"/>
          <w:lang w:bidi="ar-SA"/>
        </w:rPr>
        <w:t xml:space="preserve">ed Langmuir equation [36]: </w:t>
      </w:r>
    </w:p>
    <w:p w14:paraId="1B906841" w14:textId="77777777" w:rsidR="00C606EC" w:rsidRPr="00F87302" w:rsidRDefault="00C606EC" w:rsidP="001D7C35">
      <w:pPr>
        <w:tabs>
          <w:tab w:val="left" w:pos="2070"/>
        </w:tabs>
        <w:autoSpaceDE w:val="0"/>
        <w:autoSpaceDN w:val="0"/>
        <w:adjustRightInd w:val="0"/>
        <w:spacing w:after="120"/>
        <w:jc w:val="both"/>
        <w:rPr>
          <w:rFonts w:ascii="Times New Roman" w:eastAsia="MS Mincho" w:hAnsi="Times New Roman"/>
          <w:bCs/>
          <w:iCs/>
          <w:sz w:val="20"/>
          <w:szCs w:val="20"/>
          <w:lang w:bidi="ar-SA"/>
        </w:rPr>
      </w:pPr>
    </w:p>
    <w:p w14:paraId="4C627B9C" w14:textId="77777777" w:rsidR="001D7C35" w:rsidRPr="00F87302" w:rsidRDefault="001D7C35" w:rsidP="001D7C35">
      <w:pPr>
        <w:tabs>
          <w:tab w:val="left" w:pos="567"/>
        </w:tabs>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lastRenderedPageBreak/>
        <w:tab/>
      </w:r>
      <m:oMath>
        <m:f>
          <m:fPr>
            <m:ctrlPr>
              <w:rPr>
                <w:rFonts w:ascii="Cambria Math" w:eastAsia="TimesNewRoman" w:hAnsi="Cambria Math"/>
                <w:i/>
                <w:sz w:val="20"/>
                <w:szCs w:val="20"/>
                <w:lang w:bidi="ar-SA"/>
              </w:rPr>
            </m:ctrlPr>
          </m:fPr>
          <m:num>
            <m:r>
              <w:rPr>
                <w:rFonts w:ascii="Cambria Math" w:eastAsia="TimesNewRoman" w:hAnsi="Cambria Math"/>
                <w:sz w:val="20"/>
                <w:szCs w:val="20"/>
                <w:lang w:bidi="ar-SA"/>
              </w:rPr>
              <m:t xml:space="preserve"> 1</m:t>
            </m:r>
          </m:num>
          <m:den>
            <m:r>
              <w:rPr>
                <w:rFonts w:ascii="Cambria Math" w:eastAsia="TimesNewRoman" w:hAnsi="Cambria Math"/>
                <w:sz w:val="20"/>
                <w:szCs w:val="20"/>
                <w:lang w:bidi="ar-SA"/>
              </w:rPr>
              <m:t>q</m:t>
            </m:r>
          </m:den>
        </m:f>
        <m:r>
          <w:rPr>
            <w:rFonts w:ascii="Cambria Math" w:eastAsia="TimesNewRoman" w:hAnsi="Cambria Math"/>
            <w:sz w:val="20"/>
            <w:szCs w:val="20"/>
            <w:lang w:bidi="ar-SA"/>
          </w:rPr>
          <m:t>=</m:t>
        </m:r>
        <m:f>
          <m:fPr>
            <m:ctrlPr>
              <w:rPr>
                <w:rFonts w:ascii="Cambria Math" w:eastAsia="TimesNewRoman" w:hAnsi="Cambria Math"/>
                <w:i/>
                <w:sz w:val="20"/>
                <w:szCs w:val="20"/>
                <w:lang w:bidi="ar-SA"/>
              </w:rPr>
            </m:ctrlPr>
          </m:fPr>
          <m:num>
            <m:r>
              <w:rPr>
                <w:rFonts w:ascii="Cambria Math" w:eastAsia="TimesNewRoman" w:hAnsi="Cambria Math"/>
                <w:sz w:val="20"/>
                <w:szCs w:val="20"/>
                <w:lang w:bidi="ar-SA"/>
              </w:rPr>
              <m:t>1</m:t>
            </m:r>
          </m:num>
          <m:den>
            <m:sSub>
              <m:sSubPr>
                <m:ctrlPr>
                  <w:rPr>
                    <w:rFonts w:ascii="Cambria Math" w:eastAsia="TimesNewRoman" w:hAnsi="Cambria Math"/>
                    <w:i/>
                    <w:sz w:val="20"/>
                    <w:szCs w:val="20"/>
                    <w:lang w:bidi="ar-SA"/>
                  </w:rPr>
                </m:ctrlPr>
              </m:sSubPr>
              <m:e>
                <m:r>
                  <w:rPr>
                    <w:rFonts w:ascii="Cambria Math" w:eastAsia="TimesNewRoman" w:hAnsi="Cambria Math"/>
                    <w:sz w:val="20"/>
                    <w:szCs w:val="20"/>
                    <w:lang w:bidi="ar-SA"/>
                  </w:rPr>
                  <m:t>q</m:t>
                </m:r>
              </m:e>
              <m:sub>
                <m:r>
                  <w:rPr>
                    <w:rFonts w:ascii="Cambria Math" w:eastAsia="TimesNewRoman" w:hAnsi="Cambria Math"/>
                    <w:sz w:val="20"/>
                    <w:szCs w:val="20"/>
                    <w:lang w:bidi="ar-SA"/>
                  </w:rPr>
                  <m:t>max</m:t>
                </m:r>
              </m:sub>
            </m:sSub>
          </m:den>
        </m:f>
        <m:r>
          <w:rPr>
            <w:rFonts w:ascii="Cambria Math" w:eastAsia="TimesNewRoman" w:hAnsi="Cambria Math"/>
            <w:sz w:val="20"/>
            <w:szCs w:val="20"/>
            <w:lang w:bidi="ar-SA"/>
          </w:rPr>
          <m:t>+</m:t>
        </m:r>
        <m:f>
          <m:fPr>
            <m:ctrlPr>
              <w:rPr>
                <w:rFonts w:ascii="Cambria Math" w:eastAsia="TimesNewRoman" w:hAnsi="Cambria Math"/>
                <w:i/>
                <w:sz w:val="20"/>
                <w:szCs w:val="20"/>
                <w:lang w:bidi="ar-SA"/>
              </w:rPr>
            </m:ctrlPr>
          </m:fPr>
          <m:num>
            <m:r>
              <w:rPr>
                <w:rFonts w:ascii="Cambria Math" w:eastAsia="TimesNewRoman" w:hAnsi="Cambria Math"/>
                <w:sz w:val="20"/>
                <w:szCs w:val="20"/>
                <w:lang w:bidi="ar-SA"/>
              </w:rPr>
              <m:t>1</m:t>
            </m:r>
          </m:num>
          <m:den>
            <m:r>
              <w:rPr>
                <w:rFonts w:ascii="Cambria Math" w:eastAsia="TimesNewRoman" w:hAnsi="Cambria Math"/>
                <w:sz w:val="20"/>
                <w:szCs w:val="20"/>
                <w:lang w:bidi="ar-SA"/>
              </w:rPr>
              <m:t>b.</m:t>
            </m:r>
            <m:sSub>
              <m:sSubPr>
                <m:ctrlPr>
                  <w:rPr>
                    <w:rFonts w:ascii="Cambria Math" w:eastAsia="TimesNewRoman" w:hAnsi="Cambria Math"/>
                    <w:i/>
                    <w:sz w:val="20"/>
                    <w:szCs w:val="20"/>
                    <w:lang w:bidi="ar-SA"/>
                  </w:rPr>
                </m:ctrlPr>
              </m:sSubPr>
              <m:e>
                <m:r>
                  <w:rPr>
                    <w:rFonts w:ascii="Cambria Math" w:eastAsia="TimesNewRoman" w:hAnsi="Cambria Math"/>
                    <w:sz w:val="20"/>
                    <w:szCs w:val="20"/>
                    <w:lang w:bidi="ar-SA"/>
                  </w:rPr>
                  <m:t>q</m:t>
                </m:r>
              </m:e>
              <m:sub>
                <m:r>
                  <w:rPr>
                    <w:rFonts w:ascii="Cambria Math" w:eastAsia="TimesNewRoman" w:hAnsi="Cambria Math"/>
                    <w:sz w:val="20"/>
                    <w:szCs w:val="20"/>
                    <w:lang w:bidi="ar-SA"/>
                  </w:rPr>
                  <m:t>max</m:t>
                </m:r>
              </m:sub>
            </m:sSub>
            <m:sSub>
              <m:sSubPr>
                <m:ctrlPr>
                  <w:rPr>
                    <w:rFonts w:ascii="Cambria Math" w:eastAsia="TimesNewRoman" w:hAnsi="Cambria Math"/>
                    <w:i/>
                    <w:sz w:val="20"/>
                    <w:szCs w:val="20"/>
                    <w:lang w:bidi="ar-SA"/>
                  </w:rPr>
                </m:ctrlPr>
              </m:sSubPr>
              <m:e>
                <m:r>
                  <w:rPr>
                    <w:rFonts w:ascii="Cambria Math" w:eastAsia="TimesNewRoman" w:hAnsi="Cambria Math"/>
                    <w:sz w:val="20"/>
                    <w:szCs w:val="20"/>
                    <w:lang w:bidi="ar-SA"/>
                  </w:rPr>
                  <m:t>∁</m:t>
                </m:r>
              </m:e>
              <m:sub>
                <m:r>
                  <w:rPr>
                    <w:rFonts w:ascii="Cambria Math" w:eastAsia="TimesNewRoman" w:hAnsi="Cambria Math"/>
                    <w:sz w:val="20"/>
                    <w:szCs w:val="20"/>
                    <w:lang w:bidi="ar-SA"/>
                  </w:rPr>
                  <m:t>f</m:t>
                </m:r>
              </m:sub>
            </m:sSub>
          </m:den>
        </m:f>
        <m:r>
          <w:rPr>
            <w:rFonts w:ascii="Cambria Math" w:eastAsia="TimesNewRoman" w:hAnsi="Cambria Math"/>
            <w:sz w:val="20"/>
            <w:szCs w:val="20"/>
            <w:lang w:bidi="ar-SA"/>
          </w:rPr>
          <m:t xml:space="preserve">   </m:t>
        </m:r>
      </m:oMath>
      <w:r w:rsidRPr="00F87302">
        <w:rPr>
          <w:rFonts w:ascii="Times New Roman" w:eastAsia="MS Mincho" w:hAnsi="Times New Roman"/>
          <w:sz w:val="20"/>
          <w:szCs w:val="20"/>
          <w:lang w:bidi="ar-SA"/>
        </w:rPr>
        <w:tab/>
      </w:r>
      <w:r w:rsidRPr="00F87302">
        <w:rPr>
          <w:rFonts w:ascii="Times New Roman" w:eastAsia="MS Mincho" w:hAnsi="Times New Roman"/>
          <w:sz w:val="20"/>
          <w:szCs w:val="20"/>
          <w:lang w:bidi="ar-SA"/>
        </w:rPr>
        <w:tab/>
        <w:t xml:space="preserve">           </w:t>
      </w:r>
      <w:r>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(1)</w:t>
      </w:r>
    </w:p>
    <w:p w14:paraId="792CE337" w14:textId="77777777" w:rsidR="001D7C35" w:rsidRDefault="001D7C35" w:rsidP="001D7C35">
      <w:pPr>
        <w:tabs>
          <w:tab w:val="left" w:pos="2070"/>
        </w:tabs>
        <w:autoSpaceDE w:val="0"/>
        <w:autoSpaceDN w:val="0"/>
        <w:adjustRightInd w:val="0"/>
        <w:spacing w:before="120" w:after="0"/>
        <w:jc w:val="both"/>
        <w:rPr>
          <w:rFonts w:ascii="Times New Roman" w:eastAsia="MS Mincho" w:hAnsi="Times New Roman"/>
          <w:sz w:val="20"/>
          <w:szCs w:val="20"/>
          <w:lang w:bidi="ar-SA"/>
        </w:rPr>
      </w:pPr>
      <w:r>
        <w:rPr>
          <w:rFonts w:ascii="Times New Roman" w:eastAsia="MS Mincho" w:hAnsi="Times New Roman"/>
          <w:sz w:val="20"/>
          <w:szCs w:val="20"/>
          <w:lang w:bidi="ar-SA"/>
        </w:rPr>
        <w:t>w</w:t>
      </w:r>
      <w:r w:rsidRPr="00F87302">
        <w:rPr>
          <w:rFonts w:ascii="Times New Roman" w:eastAsia="MS Mincho" w:hAnsi="Times New Roman"/>
          <w:sz w:val="20"/>
          <w:szCs w:val="20"/>
          <w:lang w:bidi="ar-SA"/>
        </w:rPr>
        <w:t>here q</w:t>
      </w:r>
      <w:r w:rsidRPr="00F87302">
        <w:rPr>
          <w:rFonts w:ascii="Times New Roman" w:eastAsia="MS Mincho" w:hAnsi="Times New Roman"/>
          <w:sz w:val="20"/>
          <w:szCs w:val="20"/>
          <w:vertAlign w:val="subscript"/>
          <w:lang w:bidi="ar-SA"/>
        </w:rPr>
        <w:t>max</w:t>
      </w:r>
      <w:r w:rsidRPr="00F87302">
        <w:rPr>
          <w:rFonts w:ascii="Times New Roman" w:eastAsia="MS Mincho" w:hAnsi="Times New Roman"/>
          <w:sz w:val="20"/>
          <w:szCs w:val="20"/>
          <w:lang w:bidi="ar-SA"/>
        </w:rPr>
        <w:t xml:space="preserve"> is the Langmuir adsorption capacity (mg/g) and b is the adsorption energy (l/mg). The intercept and slope from the 1/q Vs 1/C</w:t>
      </w:r>
      <w:r w:rsidRPr="00F87302">
        <w:rPr>
          <w:rFonts w:ascii="Times New Roman" w:eastAsia="MS Mincho" w:hAnsi="Times New Roman"/>
          <w:sz w:val="20"/>
          <w:szCs w:val="20"/>
          <w:vertAlign w:val="subscript"/>
          <w:lang w:bidi="ar-SA"/>
        </w:rPr>
        <w:t>f</w:t>
      </w:r>
      <w:r w:rsidRPr="00F87302">
        <w:rPr>
          <w:rFonts w:ascii="Times New Roman" w:eastAsia="MS Mincho" w:hAnsi="Times New Roman"/>
          <w:sz w:val="20"/>
          <w:szCs w:val="20"/>
          <w:lang w:bidi="ar-SA"/>
        </w:rPr>
        <w:t xml:space="preserve"> graph were used to calculate q</w:t>
      </w:r>
      <w:r w:rsidRPr="00F87302">
        <w:rPr>
          <w:rFonts w:ascii="Times New Roman" w:eastAsia="MS Mincho" w:hAnsi="Times New Roman"/>
          <w:sz w:val="20"/>
          <w:szCs w:val="20"/>
          <w:vertAlign w:val="subscript"/>
          <w:lang w:bidi="ar-SA"/>
        </w:rPr>
        <w:t>max</w:t>
      </w:r>
      <w:r w:rsidRPr="00F87302">
        <w:rPr>
          <w:rFonts w:ascii="Times New Roman" w:eastAsia="MS Mincho" w:hAnsi="Times New Roman"/>
          <w:sz w:val="20"/>
          <w:szCs w:val="20"/>
          <w:lang w:bidi="ar-SA"/>
        </w:rPr>
        <w:t xml:space="preserve"> and b. </w:t>
      </w:r>
    </w:p>
    <w:p w14:paraId="4A15A320" w14:textId="77777777" w:rsidR="001D7C35" w:rsidRPr="00F87302" w:rsidRDefault="001D7C35" w:rsidP="001D7C35">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3B1FDD10" w14:textId="77777777" w:rsidR="001D7C35" w:rsidRDefault="001D7C35" w:rsidP="001D7C35">
      <w:pPr>
        <w:tabs>
          <w:tab w:val="left" w:pos="2070"/>
        </w:tabs>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The following equation represents the Freundlich isotherm linear form </w:t>
      </w:r>
      <w:r w:rsidRPr="00F87302">
        <w:rPr>
          <w:rFonts w:ascii="Times New Roman" w:eastAsia="MS Mincho" w:hAnsi="Times New Roman"/>
          <w:bCs/>
          <w:iCs/>
          <w:sz w:val="20"/>
          <w:szCs w:val="20"/>
          <w:lang w:bidi="ar-SA"/>
        </w:rPr>
        <w:t>[37]</w:t>
      </w:r>
      <w:r w:rsidRPr="00F87302">
        <w:rPr>
          <w:rFonts w:ascii="Times New Roman" w:eastAsia="MS Mincho" w:hAnsi="Times New Roman"/>
          <w:sz w:val="20"/>
          <w:szCs w:val="20"/>
          <w:lang w:bidi="ar-SA"/>
        </w:rPr>
        <w:t>:</w:t>
      </w:r>
    </w:p>
    <w:p w14:paraId="507091DE" w14:textId="77777777" w:rsidR="001D7C35" w:rsidRDefault="001D7C35" w:rsidP="00C606EC">
      <w:pPr>
        <w:autoSpaceDE w:val="0"/>
        <w:autoSpaceDN w:val="0"/>
        <w:adjustRightInd w:val="0"/>
        <w:spacing w:after="120"/>
        <w:ind w:left="547" w:right="58"/>
        <w:jc w:val="both"/>
        <w:rPr>
          <w:rFonts w:ascii="Times New Roman" w:eastAsia="MS Mincho" w:hAnsi="Times New Roman"/>
          <w:iCs/>
          <w:sz w:val="20"/>
          <w:szCs w:val="20"/>
          <w:lang w:bidi="ar-SA"/>
        </w:rPr>
      </w:pPr>
      <w:r w:rsidRPr="00F87302">
        <w:rPr>
          <w:rFonts w:ascii="Times New Roman" w:eastAsia="MS Mincho" w:hAnsi="Times New Roman"/>
          <w:sz w:val="20"/>
          <w:szCs w:val="20"/>
          <w:lang w:bidi="ar-SA"/>
        </w:rPr>
        <w:t xml:space="preserve"> </w:t>
      </w:r>
      <w:r w:rsidRPr="00A50EDD">
        <w:rPr>
          <w:rFonts w:ascii="Cambria Math" w:eastAsia="MS Mincho" w:hAnsi="Cambria Math"/>
          <w:i/>
          <w:sz w:val="20"/>
          <w:szCs w:val="20"/>
          <w:lang w:bidi="ar-SA"/>
        </w:rPr>
        <w:br/>
      </w:r>
      <m:oMath>
        <m:func>
          <m:funcPr>
            <m:ctrlPr>
              <w:rPr>
                <w:rFonts w:ascii="Cambria Math" w:eastAsia="MS Mincho" w:hAnsi="Cambria Math"/>
                <w:i/>
                <w:sz w:val="20"/>
                <w:szCs w:val="20"/>
                <w:lang w:bidi="ar-SA"/>
              </w:rPr>
            </m:ctrlPr>
          </m:funcPr>
          <m:fName>
            <m:r>
              <m:rPr>
                <m:sty m:val="p"/>
              </m:rPr>
              <w:rPr>
                <w:rFonts w:ascii="Cambria Math" w:eastAsia="MS Mincho" w:hAnsi="Cambria Math"/>
                <w:sz w:val="20"/>
                <w:szCs w:val="20"/>
                <w:lang w:bidi="ar-SA"/>
              </w:rPr>
              <m:t>log</m:t>
            </m:r>
          </m:fName>
          <m:e>
            <m:r>
              <w:rPr>
                <w:rFonts w:ascii="Cambria Math" w:eastAsia="MS Mincho" w:hAnsi="Cambria Math"/>
                <w:sz w:val="20"/>
                <w:szCs w:val="20"/>
                <w:lang w:bidi="ar-SA"/>
              </w:rPr>
              <m:t>q=logK+</m:t>
            </m:r>
            <m:f>
              <m:fPr>
                <m:ctrlPr>
                  <w:rPr>
                    <w:rFonts w:ascii="Cambria Math" w:eastAsia="MS Mincho" w:hAnsi="Cambria Math"/>
                    <w:i/>
                    <w:sz w:val="20"/>
                    <w:szCs w:val="20"/>
                    <w:lang w:bidi="ar-SA"/>
                  </w:rPr>
                </m:ctrlPr>
              </m:fPr>
              <m:num>
                <m:r>
                  <w:rPr>
                    <w:rFonts w:ascii="Cambria Math" w:eastAsia="MS Mincho" w:hAnsi="Cambria Math"/>
                    <w:sz w:val="20"/>
                    <w:szCs w:val="20"/>
                    <w:lang w:bidi="ar-SA"/>
                  </w:rPr>
                  <m:t>1</m:t>
                </m:r>
              </m:num>
              <m:den>
                <m:r>
                  <w:rPr>
                    <w:rFonts w:ascii="Cambria Math" w:eastAsia="MS Mincho" w:hAnsi="Cambria Math"/>
                    <w:sz w:val="20"/>
                    <w:szCs w:val="20"/>
                    <w:lang w:bidi="ar-SA"/>
                  </w:rPr>
                  <m:t>n</m:t>
                </m:r>
              </m:den>
            </m:f>
          </m:e>
        </m:func>
        <m:r>
          <w:rPr>
            <w:rFonts w:ascii="Cambria Math" w:eastAsia="MS Mincho" w:hAnsi="Cambria Math"/>
            <w:sz w:val="20"/>
            <w:szCs w:val="20"/>
            <w:lang w:bidi="ar-SA"/>
          </w:rPr>
          <m:t xml:space="preserve"> log</m:t>
        </m:r>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m:t>
            </m:r>
          </m:e>
          <m:sub>
            <m:r>
              <w:rPr>
                <w:rFonts w:ascii="Cambria Math" w:eastAsia="MS Mincho" w:hAnsi="Cambria Math"/>
                <w:sz w:val="20"/>
                <w:szCs w:val="20"/>
                <w:lang w:bidi="ar-SA"/>
              </w:rPr>
              <m:t>f</m:t>
            </m:r>
          </m:sub>
        </m:sSub>
      </m:oMath>
      <w:r>
        <w:rPr>
          <w:rFonts w:ascii="Cambria Math" w:eastAsia="MS Mincho" w:hAnsi="Cambria Math"/>
          <w:i/>
          <w:sz w:val="20"/>
          <w:szCs w:val="20"/>
          <w:lang w:bidi="ar-SA"/>
        </w:rPr>
        <w:t xml:space="preserve">      </w:t>
      </w:r>
      <w:r>
        <w:rPr>
          <w:rFonts w:ascii="Cambria Math" w:eastAsia="MS Mincho" w:hAnsi="Cambria Math"/>
          <w:iCs/>
          <w:sz w:val="20"/>
          <w:szCs w:val="20"/>
          <w:lang w:bidi="ar-SA"/>
        </w:rPr>
        <w:t xml:space="preserve">                                   </w:t>
      </w:r>
      <w:r w:rsidRPr="00D452B7">
        <w:rPr>
          <w:rFonts w:ascii="Times New Roman" w:eastAsia="MS Mincho" w:hAnsi="Times New Roman"/>
          <w:iCs/>
          <w:sz w:val="20"/>
          <w:szCs w:val="20"/>
          <w:lang w:bidi="ar-SA"/>
        </w:rPr>
        <w:t>(2)</w:t>
      </w:r>
      <w:r>
        <w:rPr>
          <w:rFonts w:ascii="Times New Roman" w:eastAsia="MS Mincho" w:hAnsi="Times New Roman"/>
          <w:iCs/>
          <w:sz w:val="20"/>
          <w:szCs w:val="20"/>
          <w:lang w:bidi="ar-SA"/>
        </w:rPr>
        <w:t xml:space="preserve"> </w:t>
      </w:r>
    </w:p>
    <w:p w14:paraId="0998D070" w14:textId="526DA1E7" w:rsidR="001D7C35" w:rsidRDefault="001D7C35" w:rsidP="001D7C35">
      <w:pPr>
        <w:autoSpaceDE w:val="0"/>
        <w:autoSpaceDN w:val="0"/>
        <w:adjustRightInd w:val="0"/>
        <w:spacing w:after="120"/>
        <w:ind w:right="58"/>
        <w:jc w:val="both"/>
        <w:rPr>
          <w:rFonts w:ascii="Times New Roman" w:eastAsia="MS Mincho" w:hAnsi="Times New Roman"/>
          <w:sz w:val="20"/>
          <w:szCs w:val="20"/>
          <w:lang w:bidi="ar-SA"/>
        </w:rPr>
      </w:pPr>
      <w:r>
        <w:rPr>
          <w:rFonts w:ascii="Times New Roman" w:eastAsia="MS Mincho" w:hAnsi="Times New Roman"/>
          <w:sz w:val="20"/>
          <w:szCs w:val="20"/>
          <w:lang w:val="en-MY" w:bidi="ar-SA"/>
        </w:rPr>
        <w:t>w</w:t>
      </w:r>
      <w:r w:rsidRPr="00F87302">
        <w:rPr>
          <w:rFonts w:ascii="Times New Roman" w:eastAsia="MS Mincho" w:hAnsi="Times New Roman"/>
          <w:sz w:val="20"/>
          <w:szCs w:val="20"/>
          <w:lang w:val="en-MY" w:bidi="ar-SA"/>
        </w:rPr>
        <w:t>here</w:t>
      </w:r>
      <w:r w:rsidRPr="00F87302">
        <w:rPr>
          <w:rFonts w:ascii="Times New Roman" w:eastAsia="MS Mincho" w:hAnsi="Times New Roman"/>
          <w:sz w:val="20"/>
          <w:szCs w:val="20"/>
          <w:lang w:bidi="ar-SA"/>
        </w:rPr>
        <w:t xml:space="preserve"> </w:t>
      </w:r>
      <w:r w:rsidRPr="00F87302">
        <w:rPr>
          <w:rFonts w:ascii="Times New Roman" w:eastAsia="MS Mincho" w:hAnsi="Times New Roman"/>
          <w:i/>
          <w:sz w:val="20"/>
          <w:szCs w:val="20"/>
          <w:lang w:bidi="ar-SA"/>
        </w:rPr>
        <w:t>K</w:t>
      </w:r>
      <w:r w:rsidRPr="00F87302">
        <w:rPr>
          <w:rFonts w:ascii="Times New Roman" w:eastAsia="MS Mincho" w:hAnsi="Times New Roman"/>
          <w:sz w:val="20"/>
          <w:szCs w:val="20"/>
          <w:lang w:bidi="ar-SA"/>
        </w:rPr>
        <w:t xml:space="preserve"> is the Freundlich constant correlated to adsorption capacity, and </w:t>
      </w:r>
      <w:r w:rsidRPr="00F87302">
        <w:rPr>
          <w:rFonts w:ascii="Times New Roman" w:eastAsia="MS Mincho" w:hAnsi="Times New Roman"/>
          <w:i/>
          <w:sz w:val="20"/>
          <w:szCs w:val="20"/>
          <w:lang w:bidi="ar-SA"/>
        </w:rPr>
        <w:t>n</w:t>
      </w:r>
      <w:r w:rsidRPr="00F87302">
        <w:rPr>
          <w:rFonts w:ascii="Times New Roman" w:eastAsia="MS Mincho" w:hAnsi="Times New Roman"/>
          <w:sz w:val="20"/>
          <w:szCs w:val="20"/>
          <w:lang w:bidi="ar-SA"/>
        </w:rPr>
        <w:t xml:space="preserve"> is the adsorption intensity. Furthermore, </w:t>
      </w:r>
      <w:r>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the separation factor R</w:t>
      </w:r>
      <w:r w:rsidRPr="00F87302">
        <w:rPr>
          <w:rFonts w:ascii="Times New Roman" w:eastAsia="MS Mincho" w:hAnsi="Times New Roman"/>
          <w:sz w:val="20"/>
          <w:szCs w:val="20"/>
          <w:lang w:bidi="ar-SA"/>
        </w:rPr>
        <w:softHyphen/>
      </w:r>
      <w:r w:rsidRPr="00F87302">
        <w:rPr>
          <w:rFonts w:ascii="Times New Roman" w:eastAsia="MS Mincho" w:hAnsi="Times New Roman"/>
          <w:sz w:val="20"/>
          <w:szCs w:val="20"/>
          <w:vertAlign w:val="subscript"/>
          <w:lang w:bidi="ar-SA"/>
        </w:rPr>
        <w:t>L</w:t>
      </w:r>
      <w:r w:rsidRPr="00F87302">
        <w:rPr>
          <w:rFonts w:ascii="Times New Roman" w:eastAsia="MS Mincho" w:hAnsi="Times New Roman"/>
          <w:sz w:val="20"/>
          <w:szCs w:val="20"/>
          <w:lang w:bidi="ar-SA"/>
        </w:rPr>
        <w:t xml:space="preserve"> </w:t>
      </w:r>
      <w:r>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describes the essential</w:t>
      </w:r>
      <w:r>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characteristics of the Langmuir isotherm [38]:</w:t>
      </w:r>
    </w:p>
    <w:p w14:paraId="0C476C50" w14:textId="77777777" w:rsidR="00606C54" w:rsidRPr="002764D3" w:rsidRDefault="003B4ACB" w:rsidP="00606C54">
      <w:pPr>
        <w:autoSpaceDE w:val="0"/>
        <w:autoSpaceDN w:val="0"/>
        <w:adjustRightInd w:val="0"/>
        <w:spacing w:after="0"/>
        <w:ind w:firstLine="720"/>
        <w:jc w:val="both"/>
        <w:rPr>
          <w:rFonts w:ascii="Times New Roman" w:eastAsia="MS Mincho" w:hAnsi="Times New Roman"/>
          <w:iCs/>
          <w:sz w:val="20"/>
          <w:szCs w:val="20"/>
          <w:lang w:bidi="ar-SA"/>
        </w:rPr>
      </w:pPr>
      <m:oMath>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R</m:t>
            </m:r>
          </m:e>
          <m:sub>
            <m:r>
              <w:rPr>
                <w:rFonts w:ascii="Cambria Math" w:eastAsia="MS Mincho" w:hAnsi="Cambria Math"/>
                <w:sz w:val="20"/>
                <w:szCs w:val="20"/>
                <w:lang w:bidi="ar-SA"/>
              </w:rPr>
              <m:t>L</m:t>
            </m:r>
          </m:sub>
        </m:sSub>
        <m:r>
          <m:rPr>
            <m:sty m:val="p"/>
          </m:rPr>
          <w:rPr>
            <w:rFonts w:ascii="Cambria Math" w:eastAsia="MS Mincho" w:hAnsi="Cambria Math"/>
            <w:sz w:val="20"/>
            <w:szCs w:val="20"/>
            <w:lang w:bidi="ar-SA"/>
          </w:rPr>
          <m:t xml:space="preserve">= </m:t>
        </m:r>
        <m:f>
          <m:fPr>
            <m:ctrlPr>
              <w:rPr>
                <w:rFonts w:ascii="Cambria Math" w:eastAsia="MS Mincho" w:hAnsi="Cambria Math"/>
                <w:iCs/>
                <w:sz w:val="20"/>
                <w:szCs w:val="20"/>
                <w:lang w:bidi="ar-SA"/>
              </w:rPr>
            </m:ctrlPr>
          </m:fPr>
          <m:num>
            <m:r>
              <w:rPr>
                <w:rFonts w:ascii="Cambria Math" w:eastAsia="MS Mincho" w:hAnsi="Cambria Math"/>
                <w:sz w:val="20"/>
                <w:szCs w:val="20"/>
                <w:lang w:bidi="ar-SA"/>
              </w:rPr>
              <m:t>1</m:t>
            </m:r>
          </m:num>
          <m:den>
            <m:r>
              <w:rPr>
                <w:rFonts w:ascii="Cambria Math" w:eastAsia="MS Mincho" w:hAnsi="Cambria Math"/>
                <w:sz w:val="20"/>
                <w:szCs w:val="20"/>
                <w:lang w:bidi="ar-SA"/>
              </w:rPr>
              <m:t>1+b</m:t>
            </m:r>
            <m:sSub>
              <m:sSubPr>
                <m:ctrlPr>
                  <w:rPr>
                    <w:rFonts w:ascii="Cambria Math" w:eastAsia="MS Mincho" w:hAnsi="Cambria Math"/>
                    <w:i/>
                    <w:iCs/>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max</m:t>
                </m:r>
              </m:sub>
            </m:sSub>
          </m:den>
        </m:f>
      </m:oMath>
      <w:r w:rsidR="00606C54" w:rsidRPr="002764D3">
        <w:rPr>
          <w:rFonts w:ascii="Calibri" w:eastAsia="MS Mincho" w:hAnsi="Calibri" w:cs="Arial"/>
          <w:iCs/>
          <w:sz w:val="20"/>
          <w:szCs w:val="20"/>
          <w:lang w:bidi="ar-SA"/>
        </w:rPr>
        <w:tab/>
      </w:r>
      <w:r w:rsidR="00606C54" w:rsidRPr="002764D3">
        <w:rPr>
          <w:rFonts w:ascii="Calibri" w:eastAsia="MS Mincho" w:hAnsi="Calibri" w:cs="Arial"/>
          <w:iCs/>
          <w:sz w:val="20"/>
          <w:szCs w:val="20"/>
          <w:lang w:bidi="ar-SA"/>
        </w:rPr>
        <w:tab/>
      </w:r>
      <w:r w:rsidR="00606C54">
        <w:rPr>
          <w:rFonts w:ascii="Calibri" w:eastAsia="MS Mincho" w:hAnsi="Calibri" w:cs="Arial"/>
          <w:iCs/>
          <w:sz w:val="20"/>
          <w:szCs w:val="20"/>
          <w:lang w:bidi="ar-SA"/>
        </w:rPr>
        <w:tab/>
        <w:t xml:space="preserve">            </w:t>
      </w:r>
      <w:r w:rsidR="00606C54" w:rsidRPr="002764D3">
        <w:rPr>
          <w:rFonts w:ascii="Calibri" w:eastAsia="MS Mincho" w:hAnsi="Calibri" w:cs="Arial"/>
          <w:iCs/>
          <w:sz w:val="20"/>
          <w:szCs w:val="20"/>
          <w:lang w:bidi="ar-SA"/>
        </w:rPr>
        <w:t xml:space="preserve"> </w:t>
      </w:r>
      <w:r w:rsidR="00606C54" w:rsidRPr="002764D3">
        <w:rPr>
          <w:rFonts w:ascii="Times New Roman" w:eastAsia="MS Mincho" w:hAnsi="Times New Roman"/>
          <w:iCs/>
          <w:sz w:val="20"/>
          <w:szCs w:val="20"/>
          <w:lang w:bidi="ar-SA"/>
        </w:rPr>
        <w:t>(3)</w:t>
      </w:r>
    </w:p>
    <w:p w14:paraId="18FDD956" w14:textId="77777777" w:rsidR="00606C54" w:rsidRDefault="00606C54" w:rsidP="00606C54">
      <w:pPr>
        <w:autoSpaceDE w:val="0"/>
        <w:autoSpaceDN w:val="0"/>
        <w:adjustRightInd w:val="0"/>
        <w:spacing w:after="0"/>
        <w:jc w:val="both"/>
        <w:rPr>
          <w:rFonts w:ascii="Times New Roman" w:eastAsia="MS Mincho" w:hAnsi="Times New Roman"/>
          <w:b/>
          <w:bCs/>
          <w:sz w:val="20"/>
          <w:szCs w:val="20"/>
          <w:lang w:bidi="ar-SA"/>
        </w:rPr>
      </w:pPr>
    </w:p>
    <w:p w14:paraId="79B4A18C" w14:textId="21BADEB0" w:rsidR="00606C54" w:rsidRPr="00F87302" w:rsidRDefault="00606C54" w:rsidP="00606C54">
      <w:pPr>
        <w:autoSpaceDE w:val="0"/>
        <w:autoSpaceDN w:val="0"/>
        <w:adjustRightInd w:val="0"/>
        <w:spacing w:after="0"/>
        <w:jc w:val="both"/>
        <w:rPr>
          <w:rFonts w:ascii="Times New Roman" w:eastAsia="MS Mincho" w:hAnsi="Times New Roman"/>
          <w:b/>
          <w:bCs/>
          <w:sz w:val="20"/>
          <w:szCs w:val="20"/>
          <w:lang w:bidi="ar-SA"/>
        </w:rPr>
      </w:pPr>
      <w:r w:rsidRPr="00F87302">
        <w:rPr>
          <w:rFonts w:ascii="Times New Roman" w:eastAsia="MS Mincho" w:hAnsi="Times New Roman"/>
          <w:b/>
          <w:bCs/>
          <w:sz w:val="20"/>
          <w:szCs w:val="20"/>
          <w:lang w:bidi="ar-SA"/>
        </w:rPr>
        <w:t>Kinetic adsorption study</w:t>
      </w:r>
    </w:p>
    <w:p w14:paraId="0B670368" w14:textId="5D877216" w:rsidR="00606C54" w:rsidRPr="00F87302" w:rsidRDefault="00606C54" w:rsidP="00606C54">
      <w:pPr>
        <w:autoSpaceDE w:val="0"/>
        <w:autoSpaceDN w:val="0"/>
        <w:adjustRightInd w:val="0"/>
        <w:spacing w:after="12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Adsorption kinetics is </w:t>
      </w:r>
      <w:r w:rsidRPr="00F87302">
        <w:rPr>
          <w:rFonts w:ascii="Times New Roman" w:eastAsia="MS Mincho" w:hAnsi="Times New Roman"/>
          <w:sz w:val="20"/>
          <w:szCs w:val="20"/>
          <w:lang w:val="en-MY" w:bidi="ar-SA"/>
        </w:rPr>
        <w:t>a</w:t>
      </w:r>
      <w:r w:rsidRPr="00F87302">
        <w:rPr>
          <w:rFonts w:ascii="Times New Roman" w:eastAsia="MS Mincho" w:hAnsi="Times New Roman"/>
          <w:sz w:val="20"/>
          <w:szCs w:val="20"/>
          <w:lang w:bidi="ar-SA"/>
        </w:rPr>
        <w:t xml:space="preserve"> significant aspect of biosorption studies since it presents valuable information concerning adsorption mechanisms and allows the investigation of the controlling biosorption mechanism. The assessment of Pb</w:t>
      </w:r>
      <w:r w:rsidRPr="00F87302">
        <w:rPr>
          <w:rFonts w:ascii="Times New Roman" w:eastAsia="MS Mincho" w:hAnsi="Times New Roman"/>
          <w:sz w:val="20"/>
          <w:szCs w:val="20"/>
          <w:vertAlign w:val="superscript"/>
          <w:lang w:bidi="ar-SA"/>
        </w:rPr>
        <w:t xml:space="preserve">2+ </w:t>
      </w:r>
      <w:r w:rsidRPr="00F87302">
        <w:rPr>
          <w:rFonts w:ascii="Times New Roman" w:eastAsia="MS Mincho" w:hAnsi="Times New Roman"/>
          <w:sz w:val="20"/>
          <w:szCs w:val="20"/>
          <w:lang w:bidi="ar-SA"/>
        </w:rPr>
        <w:t>ions adsorption kinetics onto</w:t>
      </w:r>
      <w:r w:rsidRPr="00F87302">
        <w:rPr>
          <w:rFonts w:ascii="Times New Roman" w:eastAsia="MS Mincho" w:hAnsi="Times New Roman"/>
          <w:i/>
          <w:iCs/>
          <w:sz w:val="20"/>
          <w:szCs w:val="20"/>
          <w:lang w:bidi="ar-SA"/>
        </w:rPr>
        <w:t xml:space="preserve"> E denticulatum </w:t>
      </w:r>
      <w:r w:rsidRPr="00F87302">
        <w:rPr>
          <w:rFonts w:ascii="Times New Roman" w:eastAsia="MS Mincho" w:hAnsi="Times New Roman"/>
          <w:sz w:val="20"/>
          <w:szCs w:val="20"/>
          <w:lang w:bidi="ar-SA"/>
        </w:rPr>
        <w:t xml:space="preserve">was </w:t>
      </w:r>
      <w:r w:rsidRPr="00F87302">
        <w:rPr>
          <w:rFonts w:ascii="Times New Roman" w:eastAsia="MS Mincho" w:hAnsi="Times New Roman"/>
          <w:sz w:val="20"/>
          <w:szCs w:val="20"/>
          <w:lang w:val="en-MY" w:bidi="ar-SA"/>
        </w:rPr>
        <w:t>conduc</w:t>
      </w:r>
      <w:r w:rsidRPr="00F87302">
        <w:rPr>
          <w:rFonts w:ascii="Times New Roman" w:eastAsia="MS Mincho" w:hAnsi="Times New Roman"/>
          <w:sz w:val="20"/>
          <w:szCs w:val="20"/>
          <w:lang w:bidi="ar-SA"/>
        </w:rPr>
        <w:t>t</w:t>
      </w:r>
      <w:r w:rsidRPr="00F87302">
        <w:rPr>
          <w:rFonts w:ascii="Times New Roman" w:eastAsia="MS Mincho" w:hAnsi="Times New Roman"/>
          <w:sz w:val="20"/>
          <w:szCs w:val="20"/>
          <w:lang w:val="en-MY" w:bidi="ar-SA"/>
        </w:rPr>
        <w:t>ed</w:t>
      </w:r>
      <w:r w:rsidRPr="00F87302">
        <w:rPr>
          <w:rFonts w:ascii="Times New Roman" w:eastAsia="MS Mincho" w:hAnsi="Times New Roman"/>
          <w:sz w:val="20"/>
          <w:szCs w:val="20"/>
          <w:lang w:bidi="ar-SA"/>
        </w:rPr>
        <w:t xml:space="preserve"> using pseudo-first-order and pseudo-second-order kinetics. The pseudo-first-order equation </w:t>
      </w:r>
      <w:r w:rsidRPr="00F87302">
        <w:rPr>
          <w:rFonts w:ascii="Times New Roman" w:eastAsia="MS Mincho" w:hAnsi="Times New Roman"/>
          <w:sz w:val="20"/>
          <w:szCs w:val="20"/>
          <w:lang w:val="en-MY" w:bidi="ar-SA"/>
        </w:rPr>
        <w:t>was devised</w:t>
      </w:r>
      <w:r w:rsidRPr="00F87302">
        <w:rPr>
          <w:rFonts w:ascii="Times New Roman" w:eastAsia="MS Mincho" w:hAnsi="Times New Roman"/>
          <w:sz w:val="20"/>
          <w:szCs w:val="20"/>
          <w:lang w:bidi="ar-SA"/>
        </w:rPr>
        <w:t xml:space="preserve"> by </w:t>
      </w:r>
      <w:r w:rsidRPr="00F87302">
        <w:rPr>
          <w:rFonts w:ascii="Times New Roman" w:eastAsia="MS Mincho" w:hAnsi="Times New Roman"/>
          <w:sz w:val="20"/>
          <w:szCs w:val="20"/>
          <w:lang w:bidi="ar-SA"/>
        </w:rPr>
        <w:fldChar w:fldCharType="begin" w:fldLock="1"/>
      </w:r>
      <w:r w:rsidRPr="00F87302">
        <w:rPr>
          <w:rFonts w:ascii="Times New Roman" w:eastAsia="MS Mincho" w:hAnsi="Times New Roman"/>
          <w:sz w:val="20"/>
          <w:szCs w:val="20"/>
          <w:lang w:bidi="ar-SA"/>
        </w:rPr>
        <w:instrText>ADDIN CSL_CITATION {"citationItems":[{"id":"ITEM-1","itemData":{"DOI":"10.1016/j.jhazmat.2008.06.042","ISSN":"03043894","PMID":"18656309","abstract":"Distinctive adsorption equilibria and kinetic models are of extensive use in explaining the biosorption of heavy metals, denoting the need to highlight and summarize their essential issues, which is the main purpose of this paper. As a general trend, up until now, most studies on the biosorption of heavy metal ions by miscellaneous biosorbent types have been directed toward the uptake of single metal in preference to multicomponent systems. In particular, Langmuir and Freundlich models are the most common isotherms for correlating biosorption experimental data though other isotherms, which were initially established for gas phase applications, can also be extended onto biosorption system. In kinetic modeling, the pseudo-first and -second order equations are considered as the most celebrated models. © 2008 Elsevier B.V. All rights reserved.","author":[{"dropping-particle":"","family":"Febrianto","given":"Jonathan","non-dropping-particle":"","parse-names":false,"suffix":""},{"dropping-particle":"","family":"Kosasih","given":"Aline Natasia","non-dropping-particle":"","parse-names":false,"suffix":""},{"dropping-particle":"","family":"Sunarso","given":"Jaka","non-dropping-particle":"","parse-names":false,"suffix":""},{"dropping-particle":"","family":"Ju","given":"Yi Hsu","non-dropping-particle":"","parse-names":false,"suffix":""},{"dropping-particle":"","family":"Indraswati","given":"Nani","non-dropping-particle":"","parse-names":false,"suffix":""},{"dropping-particle":"","family":"Ismadji","given":"Suryadi","non-dropping-particle":"","parse-names":false,"suffix":""}],"container-title":"Journal of Hazardous Materials","id":"ITEM-1","issue":"2-3","issued":{"date-parts":[["2009"]]},"page":"616-645","title":"Equilibrium and kinetic studies in adsorption of heavy metals using biosorbent: A summary of recent studies","type":"article-journal","volume":"162"},"uris":["http://www.mendeley.com/documents/?uuid=8fbae8c1-2bdd-4231-be4e-8e0ed2175f02"]}],"mendeley":{"formattedCitation":"(Febrianto et al., 2009)","manualFormatting":"Febrianto et al. ","plainTextFormattedCitation":"(Febrianto et al., 2009)","previouslyFormattedCitation":"(Febrianto et al., 2009)"},"properties":{"noteIndex":0},"schema":"https://github.com/citation-style-language/schema/raw/master/csl-citation.json"}</w:instrText>
      </w:r>
      <w:r w:rsidRPr="00F87302">
        <w:rPr>
          <w:rFonts w:ascii="Times New Roman" w:eastAsia="MS Mincho" w:hAnsi="Times New Roman"/>
          <w:sz w:val="20"/>
          <w:szCs w:val="20"/>
          <w:lang w:bidi="ar-SA"/>
        </w:rPr>
        <w:fldChar w:fldCharType="separate"/>
      </w:r>
      <w:r w:rsidRPr="00F87302">
        <w:rPr>
          <w:rFonts w:ascii="Times New Roman" w:eastAsia="MS Mincho" w:hAnsi="Times New Roman"/>
          <w:sz w:val="20"/>
          <w:szCs w:val="20"/>
          <w:lang w:bidi="ar-SA"/>
        </w:rPr>
        <w:t xml:space="preserve">Febrianto et al. </w:t>
      </w:r>
      <w:r w:rsidRPr="00F87302">
        <w:rPr>
          <w:rFonts w:ascii="Times New Roman" w:eastAsia="MS Mincho" w:hAnsi="Times New Roman"/>
          <w:sz w:val="20"/>
          <w:szCs w:val="20"/>
          <w:lang w:bidi="ar-SA"/>
        </w:rPr>
        <w:fldChar w:fldCharType="end"/>
      </w:r>
      <w:r w:rsidRPr="00F87302">
        <w:rPr>
          <w:rFonts w:ascii="Times New Roman" w:eastAsia="MS Mincho" w:hAnsi="Times New Roman"/>
          <w:sz w:val="20"/>
          <w:szCs w:val="20"/>
          <w:lang w:bidi="ar-SA"/>
        </w:rPr>
        <w:fldChar w:fldCharType="begin" w:fldLock="1"/>
      </w:r>
      <w:r w:rsidRPr="00F87302">
        <w:rPr>
          <w:rFonts w:ascii="Times New Roman" w:eastAsia="MS Mincho" w:hAnsi="Times New Roman"/>
          <w:sz w:val="20"/>
          <w:szCs w:val="20"/>
          <w:lang w:bidi="ar-SA"/>
        </w:rPr>
        <w:instrText>ADDIN CSL_CITATION {"citationItems":[{"id":"ITEM-1","itemData":{"DOI":"10.1016/S0043-1354(98)00207-3","ISSN":"00431354","abstract":"The sorption of lead ions from aqueous solution onto peat has been studied. Kinetic studies have been carried out using an agitated batch and the effect of varying process parameters has been investigated; these include initial lead ion concentration, peat particle size, solution temperature and agitation speed. The data were analyzed using a pseudo-first order Lagergren equation and the data were correlated using a two-step first order reaction mechanism.","author":[{"dropping-particle":"","family":"Ho","given":"Y. S.","non-dropping-particle":"","parse-names":false,"suffix":""},{"dropping-particle":"","family":"McKay","given":"G.","non-dropping-particle":"","parse-names":false,"suffix":""}],"container-title":"Water Research","id":"ITEM-1","issue":"2","issued":{"date-parts":[["1999"]]},"page":"578-584","title":"The sorption of lead(II) ions on peat","type":"article-journal","volume":"33"},"uris":["http://www.mendeley.com/documents/?uuid=51df2a3d-db39-4795-a32c-f37ec8eb010c"]}],"mendeley":{"formattedCitation":"(Ho &amp; McKay, 1999)","manualFormatting":" [39]","plainTextFormattedCitation":"(Ho &amp; McKay, 1999)","previouslyFormattedCitation":"(Ho &amp; McKay, 1999)"},"properties":{"noteIndex":0},"schema":"https://github.com/citation-style-language/schema/raw/master/csl-citation.json"}</w:instrText>
      </w:r>
      <w:r w:rsidRPr="00F87302">
        <w:rPr>
          <w:rFonts w:ascii="Times New Roman" w:eastAsia="MS Mincho" w:hAnsi="Times New Roman"/>
          <w:sz w:val="20"/>
          <w:szCs w:val="20"/>
          <w:lang w:bidi="ar-SA"/>
        </w:rPr>
        <w:fldChar w:fldCharType="separate"/>
      </w:r>
      <w:r w:rsidRPr="00F87302">
        <w:rPr>
          <w:rFonts w:ascii="Times New Roman" w:eastAsia="MS Mincho" w:hAnsi="Times New Roman"/>
          <w:sz w:val="20"/>
          <w:szCs w:val="20"/>
          <w:lang w:bidi="ar-SA"/>
        </w:rPr>
        <w:t xml:space="preserve"> [39]</w:t>
      </w:r>
      <w:r w:rsidRPr="00F87302">
        <w:rPr>
          <w:rFonts w:ascii="Times New Roman" w:eastAsia="MS Mincho" w:hAnsi="Times New Roman"/>
          <w:sz w:val="20"/>
          <w:szCs w:val="20"/>
          <w:lang w:bidi="ar-SA"/>
        </w:rPr>
        <w:fldChar w:fldCharType="end"/>
      </w:r>
      <w:r w:rsidRPr="00F87302">
        <w:rPr>
          <w:rFonts w:ascii="Times New Roman" w:eastAsia="MS Mincho" w:hAnsi="Times New Roman"/>
          <w:sz w:val="20"/>
          <w:szCs w:val="20"/>
          <w:lang w:bidi="ar-SA"/>
        </w:rPr>
        <w:t xml:space="preserve"> </w:t>
      </w:r>
    </w:p>
    <w:p w14:paraId="65B5F0DD" w14:textId="25D1CCEA" w:rsidR="00606C54" w:rsidRPr="00F87302" w:rsidRDefault="003B4ACB" w:rsidP="00606C54">
      <w:pPr>
        <w:autoSpaceDE w:val="0"/>
        <w:autoSpaceDN w:val="0"/>
        <w:adjustRightInd w:val="0"/>
        <w:spacing w:after="120"/>
        <w:ind w:left="720" w:hanging="14"/>
        <w:jc w:val="both"/>
        <w:rPr>
          <w:rFonts w:ascii="Times New Roman" w:eastAsia="MS Mincho" w:hAnsi="Times New Roman"/>
          <w:sz w:val="20"/>
          <w:szCs w:val="20"/>
          <w:lang w:bidi="ar-SA"/>
        </w:rPr>
      </w:pPr>
      <m:oMath>
        <m:func>
          <m:funcPr>
            <m:ctrlPr>
              <w:rPr>
                <w:rFonts w:ascii="Cambria Math" w:eastAsia="MS Mincho" w:hAnsi="Cambria Math"/>
                <w:i/>
                <w:sz w:val="20"/>
                <w:szCs w:val="20"/>
                <w:lang w:bidi="ar-SA"/>
              </w:rPr>
            </m:ctrlPr>
          </m:funcPr>
          <m:fName>
            <m:r>
              <m:rPr>
                <m:sty m:val="p"/>
              </m:rPr>
              <w:rPr>
                <w:rFonts w:ascii="Cambria Math" w:eastAsia="MS Mincho" w:hAnsi="Cambria Math"/>
                <w:sz w:val="20"/>
                <w:szCs w:val="20"/>
                <w:lang w:bidi="ar-SA"/>
              </w:rPr>
              <m:t>log</m:t>
            </m:r>
          </m:fName>
          <m:e>
            <m:d>
              <m:dPr>
                <m:ctrlPr>
                  <w:rPr>
                    <w:rFonts w:ascii="Cambria Math" w:eastAsia="MS Mincho" w:hAnsi="Cambria Math"/>
                    <w:i/>
                    <w:sz w:val="20"/>
                    <w:szCs w:val="20"/>
                    <w:lang w:bidi="ar-SA"/>
                  </w:rPr>
                </m:ctrlPr>
              </m:dPr>
              <m:e>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r>
                  <w:rPr>
                    <w:rFonts w:ascii="Cambria Math" w:eastAsia="MS Mincho" w:hAnsi="Cambria Math"/>
                    <w:sz w:val="20"/>
                    <w:szCs w:val="20"/>
                    <w:lang w:bidi="ar-SA"/>
                  </w:rPr>
                  <m:t>-</m:t>
                </m:r>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t</m:t>
                    </m:r>
                  </m:sub>
                </m:sSub>
              </m:e>
            </m:d>
          </m:e>
        </m:func>
        <m:r>
          <w:rPr>
            <w:rFonts w:ascii="Cambria Math" w:eastAsia="MS Mincho" w:hAnsi="Cambria Math"/>
            <w:sz w:val="20"/>
            <w:szCs w:val="20"/>
            <w:lang w:bidi="ar-SA"/>
          </w:rPr>
          <m:t>=</m:t>
        </m:r>
        <m:func>
          <m:funcPr>
            <m:ctrlPr>
              <w:rPr>
                <w:rFonts w:ascii="Cambria Math" w:eastAsia="MS Mincho" w:hAnsi="Cambria Math"/>
                <w:i/>
                <w:sz w:val="20"/>
                <w:szCs w:val="20"/>
                <w:lang w:bidi="ar-SA"/>
              </w:rPr>
            </m:ctrlPr>
          </m:funcPr>
          <m:fName>
            <m:r>
              <m:rPr>
                <m:sty m:val="p"/>
              </m:rPr>
              <w:rPr>
                <w:rFonts w:ascii="Cambria Math" w:eastAsia="MS Mincho" w:hAnsi="Cambria Math"/>
                <w:sz w:val="20"/>
                <w:szCs w:val="20"/>
                <w:lang w:bidi="ar-SA"/>
              </w:rPr>
              <m:t>log</m:t>
            </m:r>
          </m:fName>
          <m:e>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r>
              <w:rPr>
                <w:rFonts w:ascii="Cambria Math" w:eastAsia="MS Mincho" w:hAnsi="Cambria Math"/>
                <w:sz w:val="20"/>
                <w:szCs w:val="20"/>
                <w:lang w:bidi="ar-SA"/>
              </w:rPr>
              <m:t xml:space="preserve">- </m:t>
            </m:r>
            <m:f>
              <m:fPr>
                <m:ctrlPr>
                  <w:rPr>
                    <w:rFonts w:ascii="Cambria Math" w:eastAsia="MS Mincho" w:hAnsi="Cambria Math"/>
                    <w:i/>
                    <w:sz w:val="20"/>
                    <w:szCs w:val="20"/>
                    <w:lang w:bidi="ar-SA"/>
                  </w:rPr>
                </m:ctrlPr>
              </m:fPr>
              <m:num>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k</m:t>
                    </m:r>
                  </m:e>
                  <m:sub>
                    <m:r>
                      <w:rPr>
                        <w:rFonts w:ascii="Cambria Math" w:eastAsia="MS Mincho" w:hAnsi="Cambria Math"/>
                        <w:sz w:val="20"/>
                        <w:szCs w:val="20"/>
                        <w:lang w:bidi="ar-SA"/>
                      </w:rPr>
                      <m:t>1</m:t>
                    </m:r>
                  </m:sub>
                </m:sSub>
                <m:r>
                  <w:rPr>
                    <w:rFonts w:ascii="Cambria Math" w:eastAsia="MS Mincho" w:hAnsi="Cambria Math"/>
                    <w:sz w:val="20"/>
                    <w:szCs w:val="20"/>
                    <w:lang w:bidi="ar-SA"/>
                  </w:rPr>
                  <m:t xml:space="preserve"> t </m:t>
                </m:r>
              </m:num>
              <m:den>
                <m:r>
                  <w:rPr>
                    <w:rFonts w:ascii="Cambria Math" w:eastAsia="MS Mincho" w:hAnsi="Cambria Math"/>
                    <w:sz w:val="20"/>
                    <w:szCs w:val="20"/>
                    <w:lang w:bidi="ar-SA"/>
                  </w:rPr>
                  <m:t xml:space="preserve">2.303  </m:t>
                </m:r>
              </m:den>
            </m:f>
            <m:r>
              <w:rPr>
                <w:rFonts w:ascii="Cambria Math" w:eastAsia="MS Mincho" w:hAnsi="Cambria Math"/>
                <w:sz w:val="20"/>
                <w:szCs w:val="20"/>
                <w:lang w:bidi="ar-SA"/>
              </w:rPr>
              <m:t xml:space="preserve">  </m:t>
            </m:r>
          </m:e>
        </m:func>
      </m:oMath>
      <w:r w:rsidR="00606C54" w:rsidRPr="00F87302">
        <w:rPr>
          <w:rFonts w:ascii="Times New Roman" w:eastAsia="MS Mincho" w:hAnsi="Times New Roman"/>
          <w:sz w:val="20"/>
          <w:szCs w:val="20"/>
          <w:lang w:bidi="ar-SA"/>
        </w:rPr>
        <w:tab/>
        <w:t xml:space="preserve">           (4)</w:t>
      </w:r>
    </w:p>
    <w:p w14:paraId="0FE628A7" w14:textId="726EB031" w:rsidR="00606C54" w:rsidRDefault="00606C54" w:rsidP="00606C54">
      <w:pPr>
        <w:autoSpaceDE w:val="0"/>
        <w:autoSpaceDN w:val="0"/>
        <w:adjustRightInd w:val="0"/>
        <w:spacing w:after="0"/>
        <w:jc w:val="both"/>
        <w:rPr>
          <w:rFonts w:ascii="Times New Roman" w:eastAsia="MS Mincho" w:hAnsi="Times New Roman"/>
          <w:sz w:val="20"/>
          <w:szCs w:val="20"/>
          <w:lang w:bidi="ar-SA"/>
        </w:rPr>
      </w:pPr>
      <w:r>
        <w:rPr>
          <w:rFonts w:ascii="Times New Roman" w:eastAsia="MS Mincho" w:hAnsi="Times New Roman"/>
          <w:sz w:val="20"/>
          <w:szCs w:val="20"/>
          <w:lang w:bidi="ar-SA"/>
        </w:rPr>
        <w:t>w</w:t>
      </w:r>
      <w:r w:rsidRPr="00F87302">
        <w:rPr>
          <w:rFonts w:ascii="Times New Roman" w:eastAsia="MS Mincho" w:hAnsi="Times New Roman"/>
          <w:sz w:val="20"/>
          <w:szCs w:val="20"/>
          <w:lang w:bidi="ar-SA"/>
        </w:rPr>
        <w:t>here q</w:t>
      </w:r>
      <w:r w:rsidRPr="00F87302">
        <w:rPr>
          <w:rFonts w:ascii="Times New Roman" w:eastAsia="MS Mincho" w:hAnsi="Times New Roman"/>
          <w:sz w:val="20"/>
          <w:szCs w:val="20"/>
          <w:vertAlign w:val="subscript"/>
          <w:lang w:bidi="ar-SA"/>
        </w:rPr>
        <w:t xml:space="preserve">e </w:t>
      </w:r>
      <w:r w:rsidRPr="00F87302">
        <w:rPr>
          <w:rFonts w:ascii="Times New Roman" w:eastAsia="MS Mincho" w:hAnsi="Times New Roman"/>
          <w:sz w:val="20"/>
          <w:szCs w:val="20"/>
          <w:lang w:bidi="ar-SA"/>
        </w:rPr>
        <w:t>and q</w:t>
      </w:r>
      <w:r w:rsidRPr="00F87302">
        <w:rPr>
          <w:rFonts w:ascii="Times New Roman" w:eastAsia="MS Mincho" w:hAnsi="Times New Roman"/>
          <w:sz w:val="20"/>
          <w:szCs w:val="20"/>
          <w:vertAlign w:val="subscript"/>
          <w:lang w:bidi="ar-SA"/>
        </w:rPr>
        <w:t>t</w:t>
      </w:r>
      <w:r w:rsidRPr="00F87302">
        <w:rPr>
          <w:rFonts w:ascii="Times New Roman" w:eastAsia="MS Mincho" w:hAnsi="Times New Roman"/>
          <w:sz w:val="20"/>
          <w:szCs w:val="20"/>
          <w:lang w:bidi="ar-SA"/>
        </w:rPr>
        <w:t xml:space="preserve"> (mg/g) are the equilibrium and time t, respectively, </w:t>
      </w:r>
      <w:r w:rsidRPr="00F87302">
        <w:rPr>
          <w:rFonts w:ascii="Times New Roman" w:eastAsia="MS Mincho" w:hAnsi="Times New Roman"/>
          <w:sz w:val="20"/>
          <w:szCs w:val="20"/>
          <w:lang w:val="en-MY" w:bidi="ar-SA"/>
        </w:rPr>
        <w:t xml:space="preserve">of the </w:t>
      </w:r>
      <w:r w:rsidRPr="00F87302">
        <w:rPr>
          <w:rFonts w:ascii="Times New Roman" w:eastAsia="MS Mincho" w:hAnsi="Times New Roman"/>
          <w:sz w:val="20"/>
          <w:szCs w:val="20"/>
          <w:lang w:bidi="ar-SA"/>
        </w:rPr>
        <w:t>adsorption capacities. k</w:t>
      </w:r>
      <w:r w:rsidRPr="00F87302">
        <w:rPr>
          <w:rFonts w:ascii="Times New Roman" w:eastAsia="MS Mincho" w:hAnsi="Times New Roman"/>
          <w:sz w:val="20"/>
          <w:szCs w:val="20"/>
          <w:vertAlign w:val="subscript"/>
          <w:lang w:bidi="ar-SA"/>
        </w:rPr>
        <w:t>1</w:t>
      </w:r>
      <w:r w:rsidRPr="00F87302">
        <w:rPr>
          <w:rFonts w:ascii="Times New Roman" w:eastAsia="MS Mincho" w:hAnsi="Times New Roman"/>
          <w:sz w:val="20"/>
          <w:szCs w:val="20"/>
          <w:lang w:bidi="ar-SA"/>
        </w:rPr>
        <w:t xml:space="preserve"> (min</w:t>
      </w:r>
      <w:r w:rsidRPr="00F87302">
        <w:rPr>
          <w:rFonts w:ascii="Times New Roman" w:eastAsia="MS Mincho" w:hAnsi="Times New Roman"/>
          <w:sz w:val="20"/>
          <w:szCs w:val="20"/>
          <w:vertAlign w:val="superscript"/>
          <w:lang w:bidi="ar-SA"/>
        </w:rPr>
        <w:t>-1</w:t>
      </w:r>
      <w:r w:rsidRPr="00F87302">
        <w:rPr>
          <w:rFonts w:ascii="Times New Roman" w:eastAsia="MS Mincho" w:hAnsi="Times New Roman"/>
          <w:sz w:val="20"/>
          <w:szCs w:val="20"/>
          <w:lang w:bidi="ar-SA"/>
        </w:rPr>
        <w:t xml:space="preserve">) is the pseudo-first-order adsorption rate constant. The linear correlation of </w:t>
      </w:r>
      <m:oMath>
        <m:func>
          <m:funcPr>
            <m:ctrlPr>
              <w:rPr>
                <w:rFonts w:ascii="Cambria Math" w:eastAsia="MS Mincho" w:hAnsi="Cambria Math"/>
                <w:i/>
                <w:sz w:val="20"/>
                <w:szCs w:val="20"/>
                <w:lang w:bidi="ar-SA"/>
              </w:rPr>
            </m:ctrlPr>
          </m:funcPr>
          <m:fName>
            <m:r>
              <m:rPr>
                <m:sty m:val="p"/>
              </m:rPr>
              <w:rPr>
                <w:rFonts w:ascii="Cambria Math" w:eastAsia="MS Mincho" w:hAnsi="Cambria Math"/>
                <w:sz w:val="20"/>
                <w:szCs w:val="20"/>
                <w:lang w:bidi="ar-SA"/>
              </w:rPr>
              <m:t>log</m:t>
            </m:r>
          </m:fName>
          <m:e>
            <m:d>
              <m:dPr>
                <m:ctrlPr>
                  <w:rPr>
                    <w:rFonts w:ascii="Cambria Math" w:eastAsia="MS Mincho" w:hAnsi="Cambria Math"/>
                    <w:i/>
                    <w:sz w:val="20"/>
                    <w:szCs w:val="20"/>
                    <w:lang w:bidi="ar-SA"/>
                  </w:rPr>
                </m:ctrlPr>
              </m:dPr>
              <m:e>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r>
                  <w:rPr>
                    <w:rFonts w:ascii="Cambria Math" w:eastAsia="MS Mincho" w:hAnsi="Cambria Math"/>
                    <w:sz w:val="20"/>
                    <w:szCs w:val="20"/>
                    <w:lang w:bidi="ar-SA"/>
                  </w:rPr>
                  <m:t>-</m:t>
                </m:r>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t</m:t>
                    </m:r>
                  </m:sub>
                </m:sSub>
              </m:e>
            </m:d>
          </m:e>
        </m:func>
      </m:oMath>
      <w:r w:rsidRPr="00F87302">
        <w:rPr>
          <w:rFonts w:ascii="Times New Roman" w:eastAsia="MS Mincho" w:hAnsi="Times New Roman"/>
          <w:sz w:val="20"/>
          <w:szCs w:val="20"/>
          <w:lang w:val="en-MY" w:bidi="ar-SA"/>
        </w:rPr>
        <w:t>v</w:t>
      </w:r>
      <w:r w:rsidRPr="00F87302">
        <w:rPr>
          <w:rFonts w:ascii="Times New Roman" w:eastAsia="MS Mincho" w:hAnsi="Times New Roman"/>
          <w:sz w:val="20"/>
          <w:szCs w:val="20"/>
          <w:lang w:bidi="ar-SA"/>
        </w:rPr>
        <w:t>ersus t implies that the reaction fits with the pseudo-first-order reaction. The slope and the model's intercept, respectively, give k</w:t>
      </w:r>
      <w:r w:rsidRPr="00F87302">
        <w:rPr>
          <w:rFonts w:ascii="Times New Roman" w:eastAsia="MS Mincho" w:hAnsi="Times New Roman"/>
          <w:sz w:val="20"/>
          <w:szCs w:val="20"/>
          <w:vertAlign w:val="subscript"/>
          <w:lang w:bidi="ar-SA"/>
        </w:rPr>
        <w:t xml:space="preserve">1 </w:t>
      </w:r>
      <w:r w:rsidRPr="00F87302">
        <w:rPr>
          <w:rFonts w:ascii="Times New Roman" w:eastAsia="MS Mincho" w:hAnsi="Times New Roman"/>
          <w:sz w:val="20"/>
          <w:szCs w:val="20"/>
          <w:lang w:bidi="ar-SA"/>
        </w:rPr>
        <w:t>and q</w:t>
      </w:r>
      <w:r w:rsidRPr="00F87302">
        <w:rPr>
          <w:rFonts w:ascii="Times New Roman" w:eastAsia="MS Mincho" w:hAnsi="Times New Roman"/>
          <w:sz w:val="20"/>
          <w:szCs w:val="20"/>
          <w:vertAlign w:val="subscript"/>
          <w:lang w:bidi="ar-SA"/>
        </w:rPr>
        <w:t>e</w:t>
      </w:r>
      <w:r w:rsidRPr="00F87302">
        <w:rPr>
          <w:rFonts w:ascii="Times New Roman" w:eastAsia="MS Mincho" w:hAnsi="Times New Roman"/>
          <w:sz w:val="20"/>
          <w:szCs w:val="20"/>
          <w:lang w:bidi="ar-SA"/>
        </w:rPr>
        <w:t xml:space="preserve">. </w:t>
      </w:r>
    </w:p>
    <w:p w14:paraId="1B6A3353" w14:textId="77777777" w:rsidR="00606C54" w:rsidRDefault="00606C54" w:rsidP="00606C54">
      <w:pPr>
        <w:autoSpaceDE w:val="0"/>
        <w:autoSpaceDN w:val="0"/>
        <w:adjustRightInd w:val="0"/>
        <w:spacing w:after="0"/>
        <w:jc w:val="both"/>
        <w:rPr>
          <w:rFonts w:ascii="Times New Roman" w:eastAsia="MS Mincho" w:hAnsi="Times New Roman"/>
          <w:sz w:val="20"/>
          <w:szCs w:val="20"/>
          <w:lang w:bidi="ar-SA"/>
        </w:rPr>
      </w:pPr>
    </w:p>
    <w:p w14:paraId="663A1EF2" w14:textId="77777777" w:rsidR="00A3773C" w:rsidRDefault="00606C54" w:rsidP="00A3773C">
      <w:pPr>
        <w:autoSpaceDE w:val="0"/>
        <w:autoSpaceDN w:val="0"/>
        <w:adjustRightInd w:val="0"/>
        <w:spacing w:after="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t xml:space="preserve">According to Ho </w:t>
      </w:r>
      <w:r w:rsidRPr="00F87302">
        <w:rPr>
          <w:rFonts w:ascii="Times New Roman" w:eastAsia="MS Mincho" w:hAnsi="Times New Roman"/>
          <w:sz w:val="20"/>
          <w:szCs w:val="20"/>
          <w:lang w:val="en-MY" w:bidi="ar-SA"/>
        </w:rPr>
        <w:t>and</w:t>
      </w:r>
      <w:r w:rsidRPr="00F87302">
        <w:rPr>
          <w:rFonts w:ascii="Times New Roman" w:eastAsia="MS Mincho" w:hAnsi="Times New Roman"/>
          <w:sz w:val="20"/>
          <w:szCs w:val="20"/>
          <w:lang w:bidi="ar-SA"/>
        </w:rPr>
        <w:t xml:space="preserve"> Ofomaja [40], the pseudo-second-order reaction is expressed as:</w:t>
      </w:r>
    </w:p>
    <w:p w14:paraId="1DEE2ED4" w14:textId="15292341" w:rsidR="00606C54" w:rsidRPr="00F87302" w:rsidRDefault="00606C54" w:rsidP="00A3773C">
      <w:pPr>
        <w:autoSpaceDE w:val="0"/>
        <w:autoSpaceDN w:val="0"/>
        <w:adjustRightInd w:val="0"/>
        <w:spacing w:after="120"/>
        <w:jc w:val="both"/>
        <w:rPr>
          <w:rFonts w:ascii="Times New Roman" w:eastAsia="MS Mincho" w:hAnsi="Times New Roman"/>
          <w:sz w:val="20"/>
          <w:szCs w:val="20"/>
          <w:lang w:bidi="ar-SA"/>
        </w:rPr>
      </w:pPr>
      <w:r w:rsidRPr="00F87302">
        <w:rPr>
          <w:rFonts w:ascii="Times New Roman" w:eastAsia="MS Mincho" w:hAnsi="Times New Roman"/>
          <w:sz w:val="20"/>
          <w:szCs w:val="20"/>
          <w:lang w:bidi="ar-SA"/>
        </w:rPr>
        <w:br/>
      </w:r>
      <m:oMath>
        <m:f>
          <m:fPr>
            <m:ctrlPr>
              <w:rPr>
                <w:rFonts w:ascii="Cambria Math" w:eastAsia="MS Mincho" w:hAnsi="Cambria Math"/>
                <w:i/>
                <w:sz w:val="20"/>
                <w:szCs w:val="20"/>
                <w:lang w:bidi="ar-SA"/>
              </w:rPr>
            </m:ctrlPr>
          </m:fPr>
          <m:num>
            <m:r>
              <w:rPr>
                <w:rFonts w:ascii="Cambria Math" w:eastAsia="MS Mincho" w:hAnsi="Cambria Math"/>
                <w:sz w:val="20"/>
                <w:szCs w:val="20"/>
                <w:lang w:bidi="ar-SA"/>
              </w:rPr>
              <m:t>t</m:t>
            </m:r>
          </m:num>
          <m:den>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t</m:t>
                </m:r>
              </m:sub>
            </m:sSub>
          </m:den>
        </m:f>
        <m:r>
          <w:rPr>
            <w:rFonts w:ascii="Cambria Math" w:eastAsia="MS Mincho" w:hAnsi="Cambria Math"/>
            <w:sz w:val="20"/>
            <w:szCs w:val="20"/>
            <w:lang w:bidi="ar-SA"/>
          </w:rPr>
          <m:t xml:space="preserve">= </m:t>
        </m:r>
        <m:f>
          <m:fPr>
            <m:ctrlPr>
              <w:rPr>
                <w:rFonts w:ascii="Cambria Math" w:eastAsia="MS Mincho" w:hAnsi="Cambria Math"/>
                <w:i/>
                <w:sz w:val="20"/>
                <w:szCs w:val="20"/>
                <w:lang w:bidi="ar-SA"/>
              </w:rPr>
            </m:ctrlPr>
          </m:fPr>
          <m:num>
            <m:r>
              <w:rPr>
                <w:rFonts w:ascii="Cambria Math" w:eastAsia="MS Mincho" w:hAnsi="Cambria Math"/>
                <w:sz w:val="20"/>
                <w:szCs w:val="20"/>
                <w:lang w:bidi="ar-SA"/>
              </w:rPr>
              <m:t>1</m:t>
            </m:r>
          </m:num>
          <m:den>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k</m:t>
                </m:r>
              </m:e>
              <m:sub>
                <m:r>
                  <w:rPr>
                    <w:rFonts w:ascii="Cambria Math" w:eastAsia="MS Mincho" w:hAnsi="Cambria Math"/>
                    <w:sz w:val="20"/>
                    <w:szCs w:val="20"/>
                    <w:lang w:bidi="ar-SA"/>
                  </w:rPr>
                  <m:t>2</m:t>
                </m:r>
              </m:sub>
            </m:sSub>
            <m:sSubSup>
              <m:sSubSupPr>
                <m:ctrlPr>
                  <w:rPr>
                    <w:rFonts w:ascii="Cambria Math" w:eastAsia="MS Mincho" w:hAnsi="Cambria Math"/>
                    <w:i/>
                    <w:sz w:val="20"/>
                    <w:szCs w:val="20"/>
                    <w:lang w:bidi="ar-SA"/>
                  </w:rPr>
                </m:ctrlPr>
              </m:sSubSupPr>
              <m:e>
                <m:r>
                  <w:rPr>
                    <w:rFonts w:ascii="Cambria Math" w:eastAsia="MS Mincho" w:hAnsi="Cambria Math"/>
                    <w:sz w:val="20"/>
                    <w:szCs w:val="20"/>
                    <w:lang w:bidi="ar-SA"/>
                  </w:rPr>
                  <m:t>q</m:t>
                </m:r>
              </m:e>
              <m:sub>
                <m:r>
                  <w:rPr>
                    <w:rFonts w:ascii="Cambria Math" w:eastAsia="MS Mincho" w:hAnsi="Cambria Math"/>
                    <w:sz w:val="20"/>
                    <w:szCs w:val="20"/>
                    <w:lang w:bidi="ar-SA"/>
                  </w:rPr>
                  <m:t>e</m:t>
                </m:r>
              </m:sub>
              <m:sup>
                <m:r>
                  <w:rPr>
                    <w:rFonts w:ascii="Cambria Math" w:eastAsia="MS Mincho" w:hAnsi="Cambria Math"/>
                    <w:sz w:val="20"/>
                    <w:szCs w:val="20"/>
                    <w:lang w:bidi="ar-SA"/>
                  </w:rPr>
                  <m:t>2</m:t>
                </m:r>
              </m:sup>
            </m:sSubSup>
            <m:r>
              <w:rPr>
                <w:rFonts w:ascii="Cambria Math" w:eastAsia="MS Mincho" w:hAnsi="Cambria Math"/>
                <w:sz w:val="20"/>
                <w:szCs w:val="20"/>
                <w:lang w:bidi="ar-SA"/>
              </w:rPr>
              <m:t xml:space="preserve"> </m:t>
            </m:r>
          </m:den>
        </m:f>
        <m:r>
          <w:rPr>
            <w:rFonts w:ascii="Cambria Math" w:eastAsia="MS Mincho" w:hAnsi="Cambria Math"/>
            <w:sz w:val="20"/>
            <w:szCs w:val="20"/>
            <w:lang w:bidi="ar-SA"/>
          </w:rPr>
          <m:t xml:space="preserve">+ </m:t>
        </m:r>
        <m:f>
          <m:fPr>
            <m:ctrlPr>
              <w:rPr>
                <w:rFonts w:ascii="Cambria Math" w:eastAsia="MS Mincho" w:hAnsi="Cambria Math"/>
                <w:i/>
                <w:sz w:val="20"/>
                <w:szCs w:val="20"/>
                <w:lang w:bidi="ar-SA"/>
              </w:rPr>
            </m:ctrlPr>
          </m:fPr>
          <m:num>
            <m:r>
              <w:rPr>
                <w:rFonts w:ascii="Cambria Math" w:eastAsia="MS Mincho" w:hAnsi="Cambria Math"/>
                <w:sz w:val="20"/>
                <w:szCs w:val="20"/>
                <w:lang w:bidi="ar-SA"/>
              </w:rPr>
              <m:t>t</m:t>
            </m:r>
          </m:num>
          <m:den>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den>
        </m:f>
        <m:r>
          <w:rPr>
            <w:rFonts w:ascii="Cambria Math" w:eastAsia="MS Mincho" w:hAnsi="Cambria Math"/>
            <w:sz w:val="20"/>
            <w:szCs w:val="20"/>
            <w:lang w:bidi="ar-SA"/>
          </w:rPr>
          <m:t xml:space="preserve">    </m:t>
        </m:r>
      </m:oMath>
      <w:r w:rsidRPr="00F87302">
        <w:rPr>
          <w:rFonts w:ascii="Times New Roman" w:eastAsia="MS Mincho" w:hAnsi="Times New Roman"/>
          <w:sz w:val="20"/>
          <w:szCs w:val="20"/>
          <w:lang w:bidi="ar-SA"/>
        </w:rPr>
        <w:tab/>
      </w:r>
      <w:r w:rsidRPr="00F87302">
        <w:rPr>
          <w:rFonts w:ascii="Times New Roman" w:eastAsia="MS Mincho" w:hAnsi="Times New Roman"/>
          <w:sz w:val="20"/>
          <w:szCs w:val="20"/>
          <w:lang w:bidi="ar-SA"/>
        </w:rPr>
        <w:tab/>
        <w:t xml:space="preserve">                          </w:t>
      </w:r>
      <w:r>
        <w:rPr>
          <w:rFonts w:ascii="Times New Roman" w:eastAsia="MS Mincho" w:hAnsi="Times New Roman"/>
          <w:sz w:val="20"/>
          <w:szCs w:val="20"/>
          <w:lang w:bidi="ar-SA"/>
        </w:rPr>
        <w:t xml:space="preserve">               </w:t>
      </w:r>
      <w:r w:rsidRPr="00F87302">
        <w:rPr>
          <w:rFonts w:ascii="Times New Roman" w:eastAsia="MS Mincho" w:hAnsi="Times New Roman"/>
          <w:sz w:val="20"/>
          <w:szCs w:val="20"/>
          <w:lang w:bidi="ar-SA"/>
        </w:rPr>
        <w:t>(5)</w:t>
      </w:r>
    </w:p>
    <w:p w14:paraId="55872C2B" w14:textId="6FABE9E8" w:rsidR="00606C54" w:rsidRDefault="00606C54" w:rsidP="00606C54">
      <w:pPr>
        <w:spacing w:after="0"/>
        <w:jc w:val="both"/>
        <w:rPr>
          <w:rFonts w:ascii="Times New Roman" w:eastAsia="MS Mincho" w:hAnsi="Times New Roman"/>
          <w:sz w:val="20"/>
          <w:szCs w:val="20"/>
          <w:lang w:bidi="ar-SA"/>
        </w:rPr>
      </w:pPr>
      <w:r>
        <w:rPr>
          <w:rFonts w:ascii="Times New Roman" w:eastAsia="MS Mincho" w:hAnsi="Times New Roman"/>
          <w:sz w:val="20"/>
          <w:szCs w:val="20"/>
          <w:lang w:bidi="ar-SA"/>
        </w:rPr>
        <w:t>w</w:t>
      </w:r>
      <w:r w:rsidRPr="00F87302">
        <w:rPr>
          <w:rFonts w:ascii="Times New Roman" w:eastAsia="MS Mincho" w:hAnsi="Times New Roman"/>
          <w:sz w:val="20"/>
          <w:szCs w:val="20"/>
          <w:lang w:bidi="ar-SA"/>
        </w:rPr>
        <w:t>here k</w:t>
      </w:r>
      <w:r w:rsidRPr="00F87302">
        <w:rPr>
          <w:rFonts w:ascii="Times New Roman" w:eastAsia="MS Mincho" w:hAnsi="Times New Roman"/>
          <w:sz w:val="20"/>
          <w:szCs w:val="20"/>
          <w:vertAlign w:val="subscript"/>
          <w:lang w:bidi="ar-SA"/>
        </w:rPr>
        <w:t>2</w:t>
      </w:r>
      <w:r w:rsidRPr="00F87302">
        <w:rPr>
          <w:rFonts w:ascii="Times New Roman" w:eastAsia="MS Mincho" w:hAnsi="Times New Roman"/>
          <w:sz w:val="20"/>
          <w:szCs w:val="20"/>
          <w:lang w:bidi="ar-SA"/>
        </w:rPr>
        <w:t xml:space="preserve"> (g mg</w:t>
      </w:r>
      <w:r w:rsidRPr="00F87302">
        <w:rPr>
          <w:rFonts w:ascii="Times New Roman" w:eastAsia="MS Mincho" w:hAnsi="Times New Roman"/>
          <w:sz w:val="20"/>
          <w:szCs w:val="20"/>
          <w:vertAlign w:val="superscript"/>
          <w:lang w:bidi="ar-SA"/>
        </w:rPr>
        <w:t>-1</w:t>
      </w:r>
      <w:r w:rsidRPr="00F87302">
        <w:rPr>
          <w:rFonts w:ascii="Times New Roman" w:eastAsia="MS Mincho" w:hAnsi="Times New Roman"/>
          <w:sz w:val="20"/>
          <w:szCs w:val="20"/>
          <w:lang w:bidi="ar-SA"/>
        </w:rPr>
        <w:t>min</w:t>
      </w:r>
      <w:r w:rsidRPr="00F87302">
        <w:rPr>
          <w:rFonts w:ascii="Times New Roman" w:eastAsia="MS Mincho" w:hAnsi="Times New Roman"/>
          <w:sz w:val="20"/>
          <w:szCs w:val="20"/>
          <w:vertAlign w:val="superscript"/>
          <w:lang w:bidi="ar-SA"/>
        </w:rPr>
        <w:t>-1</w:t>
      </w:r>
      <w:r w:rsidRPr="00F87302">
        <w:rPr>
          <w:rFonts w:ascii="Times New Roman" w:eastAsia="MS Mincho" w:hAnsi="Times New Roman"/>
          <w:sz w:val="20"/>
          <w:szCs w:val="20"/>
          <w:lang w:bidi="ar-SA"/>
        </w:rPr>
        <w:t xml:space="preserve">) is the rate constant for the pseudo-second-order adsorption model. The linear </w:t>
      </w:r>
      <w:r w:rsidRPr="00F87302">
        <w:rPr>
          <w:rFonts w:ascii="Times New Roman" w:eastAsia="MS Mincho" w:hAnsi="Times New Roman"/>
          <w:sz w:val="20"/>
          <w:szCs w:val="20"/>
          <w:lang w:bidi="ar-SA"/>
        </w:rPr>
        <w:t xml:space="preserve">relationship from the </w:t>
      </w:r>
      <m:oMath>
        <m:f>
          <m:fPr>
            <m:ctrlPr>
              <w:rPr>
                <w:rFonts w:ascii="Cambria Math" w:eastAsia="MS Mincho" w:hAnsi="Cambria Math"/>
                <w:i/>
                <w:sz w:val="20"/>
                <w:szCs w:val="20"/>
                <w:lang w:bidi="ar-SA"/>
              </w:rPr>
            </m:ctrlPr>
          </m:fPr>
          <m:num>
            <m:r>
              <w:rPr>
                <w:rFonts w:ascii="Cambria Math" w:eastAsia="MS Mincho" w:hAnsi="Cambria Math"/>
                <w:sz w:val="20"/>
                <w:szCs w:val="20"/>
                <w:lang w:bidi="ar-SA"/>
              </w:rPr>
              <m:t>t</m:t>
            </m:r>
          </m:num>
          <m:den>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t</m:t>
                </m:r>
              </m:sub>
            </m:sSub>
          </m:den>
        </m:f>
      </m:oMath>
      <w:r w:rsidRPr="00F87302">
        <w:rPr>
          <w:rFonts w:ascii="Times New Roman" w:eastAsia="MS Mincho" w:hAnsi="Times New Roman"/>
          <w:sz w:val="20"/>
          <w:szCs w:val="20"/>
          <w:lang w:bidi="ar-SA"/>
        </w:rPr>
        <w:t xml:space="preserve"> v</w:t>
      </w:r>
      <w:r w:rsidRPr="00F87302">
        <w:rPr>
          <w:rFonts w:ascii="Times New Roman" w:eastAsia="MS Mincho" w:hAnsi="Times New Roman"/>
          <w:sz w:val="20"/>
          <w:szCs w:val="20"/>
          <w:lang w:val="en-MY" w:bidi="ar-SA"/>
        </w:rPr>
        <w:t>ersus</w:t>
      </w:r>
      <w:r w:rsidRPr="00F87302">
        <w:rPr>
          <w:rFonts w:ascii="Times New Roman" w:eastAsia="MS Mincho" w:hAnsi="Times New Roman"/>
          <w:sz w:val="20"/>
          <w:szCs w:val="20"/>
          <w:lang w:bidi="ar-SA"/>
        </w:rPr>
        <w:t xml:space="preserve"> t plot gives the values of </w:t>
      </w:r>
      <m:oMath>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oMath>
      <w:r w:rsidRPr="00F87302">
        <w:rPr>
          <w:rFonts w:ascii="Times New Roman" w:eastAsia="MS Mincho" w:hAnsi="Times New Roman"/>
          <w:sz w:val="20"/>
          <w:szCs w:val="20"/>
          <w:lang w:bidi="ar-SA"/>
        </w:rPr>
        <w:t xml:space="preserve"> and k</w:t>
      </w:r>
      <w:r w:rsidRPr="00F87302">
        <w:rPr>
          <w:rFonts w:ascii="Times New Roman" w:eastAsia="MS Mincho" w:hAnsi="Times New Roman"/>
          <w:sz w:val="20"/>
          <w:szCs w:val="20"/>
          <w:vertAlign w:val="subscript"/>
          <w:lang w:bidi="ar-SA"/>
        </w:rPr>
        <w:t>2</w:t>
      </w:r>
      <w:r w:rsidRPr="00F87302">
        <w:rPr>
          <w:rFonts w:ascii="Times New Roman" w:eastAsia="MS Mincho" w:hAnsi="Times New Roman"/>
          <w:sz w:val="20"/>
          <w:szCs w:val="20"/>
          <w:lang w:bidi="ar-SA"/>
        </w:rPr>
        <w:t xml:space="preserve"> from the slope and intercept, respectively</w:t>
      </w:r>
      <w:r>
        <w:rPr>
          <w:rFonts w:ascii="Times New Roman" w:eastAsia="MS Mincho" w:hAnsi="Times New Roman"/>
          <w:sz w:val="20"/>
          <w:szCs w:val="20"/>
          <w:lang w:bidi="ar-SA"/>
        </w:rPr>
        <w:t>.</w:t>
      </w:r>
    </w:p>
    <w:p w14:paraId="3139527B" w14:textId="77777777" w:rsidR="00606C54" w:rsidRDefault="00606C54" w:rsidP="00606C54">
      <w:pPr>
        <w:spacing w:after="0"/>
        <w:jc w:val="center"/>
        <w:rPr>
          <w:rFonts w:ascii="Times New Roman" w:eastAsia="MS Mincho" w:hAnsi="Times New Roman"/>
          <w:sz w:val="20"/>
          <w:szCs w:val="20"/>
          <w:lang w:bidi="ar-SA"/>
        </w:rPr>
      </w:pPr>
    </w:p>
    <w:p w14:paraId="632BDB3B" w14:textId="77777777" w:rsidR="00606C54" w:rsidRPr="00606C54" w:rsidRDefault="00606C54" w:rsidP="00606C54">
      <w:pPr>
        <w:keepNext/>
        <w:keepLines/>
        <w:spacing w:after="0"/>
        <w:jc w:val="center"/>
        <w:outlineLvl w:val="0"/>
        <w:rPr>
          <w:rFonts w:ascii="Times New Roman" w:eastAsia="Calibri" w:hAnsi="Times New Roman"/>
          <w:b/>
          <w:bCs/>
          <w:sz w:val="20"/>
          <w:szCs w:val="20"/>
          <w:lang w:bidi="ar-SA"/>
        </w:rPr>
      </w:pPr>
      <w:bookmarkStart w:id="14" w:name="_Toc361606657"/>
      <w:bookmarkStart w:id="15" w:name="_Toc361714577"/>
      <w:bookmarkStart w:id="16" w:name="_Toc362167006"/>
      <w:bookmarkStart w:id="17" w:name="_Toc365535257"/>
      <w:r w:rsidRPr="00606C54">
        <w:rPr>
          <w:rFonts w:ascii="Times New Roman" w:eastAsia="Calibri" w:hAnsi="Times New Roman"/>
          <w:b/>
          <w:bCs/>
          <w:sz w:val="20"/>
          <w:szCs w:val="20"/>
          <w:lang w:bidi="ar-SA"/>
        </w:rPr>
        <w:t>Results and Discussion</w:t>
      </w:r>
      <w:bookmarkStart w:id="18" w:name="_Toc362167007"/>
      <w:bookmarkStart w:id="19" w:name="_Toc361606658"/>
      <w:bookmarkStart w:id="20" w:name="_Toc361714578"/>
      <w:bookmarkStart w:id="21" w:name="_Toc365535258"/>
      <w:bookmarkEnd w:id="14"/>
      <w:bookmarkEnd w:id="15"/>
      <w:bookmarkEnd w:id="16"/>
      <w:bookmarkEnd w:id="17"/>
    </w:p>
    <w:p w14:paraId="2486485E" w14:textId="77777777" w:rsidR="00606C54" w:rsidRPr="00606C54" w:rsidRDefault="00606C54" w:rsidP="00606C54">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r w:rsidRPr="00606C54">
        <w:rPr>
          <w:rFonts w:ascii="Times New Roman" w:eastAsia="Calibri" w:hAnsi="Times New Roman"/>
          <w:b/>
          <w:iCs/>
          <w:sz w:val="20"/>
          <w:szCs w:val="20"/>
          <w:lang w:eastAsia="ja-JP" w:bidi="ar-SA"/>
        </w:rPr>
        <w:t>The initial levels of Pb(II) in seaweed</w:t>
      </w:r>
      <w:bookmarkEnd w:id="18"/>
      <w:bookmarkEnd w:id="19"/>
      <w:bookmarkEnd w:id="20"/>
      <w:bookmarkEnd w:id="21"/>
    </w:p>
    <w:p w14:paraId="4E930122" w14:textId="5C13EE3F"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u w:val="single"/>
          <w:lang w:bidi="ar-SA"/>
        </w:rPr>
      </w:pP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initial concentration</w:t>
      </w:r>
      <w:r w:rsidRPr="00606C54">
        <w:rPr>
          <w:rFonts w:ascii="Times New Roman" w:eastAsia="MS Mincho" w:hAnsi="Times New Roman"/>
          <w:bCs/>
          <w:iCs/>
          <w:sz w:val="20"/>
          <w:szCs w:val="20"/>
          <w:lang w:val="en-MY" w:bidi="ar-SA"/>
        </w:rPr>
        <w:t xml:space="preserve"> of </w:t>
      </w:r>
      <w:r w:rsidRPr="00606C54">
        <w:rPr>
          <w:rFonts w:ascii="Times New Roman" w:eastAsia="MS Mincho" w:hAnsi="Times New Roman"/>
          <w:bCs/>
          <w:iCs/>
          <w:sz w:val="20"/>
          <w:szCs w:val="20"/>
          <w:lang w:bidi="ar-SA"/>
        </w:rPr>
        <w:t xml:space="preserve">Pb (II) detected in </w:t>
      </w:r>
      <w:r w:rsidRPr="00606C54">
        <w:rPr>
          <w:rFonts w:ascii="Times New Roman" w:eastAsia="MS Mincho" w:hAnsi="Times New Roman"/>
          <w:bCs/>
          <w:i/>
          <w:iCs/>
          <w:sz w:val="20"/>
          <w:szCs w:val="20"/>
          <w:lang w:bidi="ar-SA"/>
        </w:rPr>
        <w:t>E. denticulatum</w:t>
      </w:r>
      <w:r w:rsidRPr="00606C54">
        <w:rPr>
          <w:rFonts w:ascii="Times New Roman" w:eastAsia="MS Mincho" w:hAnsi="Times New Roman"/>
          <w:bCs/>
          <w:iCs/>
          <w:sz w:val="20"/>
          <w:szCs w:val="20"/>
          <w:lang w:bidi="ar-SA"/>
        </w:rPr>
        <w:t xml:space="preserve"> was 0.084 μg/g. The results indicate that only trace amounts of Pb(II) were present in the </w:t>
      </w:r>
      <w:r w:rsidRPr="00606C54">
        <w:rPr>
          <w:rFonts w:ascii="Times New Roman" w:eastAsia="MS Mincho" w:hAnsi="Times New Roman"/>
          <w:bCs/>
          <w:i/>
          <w:sz w:val="20"/>
          <w:szCs w:val="20"/>
          <w:lang w:bidi="ar-SA"/>
        </w:rPr>
        <w:t>E. denticulatum</w:t>
      </w:r>
      <w:r w:rsidRPr="00606C54">
        <w:rPr>
          <w:rFonts w:ascii="Times New Roman" w:eastAsia="MS Mincho" w:hAnsi="Times New Roman"/>
          <w:bCs/>
          <w:iCs/>
          <w:sz w:val="20"/>
          <w:szCs w:val="20"/>
          <w:lang w:bidi="ar-SA"/>
        </w:rPr>
        <w:t xml:space="preserve"> samples. The lead levels in Zanzibar</w:t>
      </w:r>
      <w:r w:rsidRPr="00606C54">
        <w:rPr>
          <w:rFonts w:ascii="Times New Roman" w:eastAsia="MS Mincho" w:hAnsi="Times New Roman"/>
          <w:bCs/>
          <w:iCs/>
          <w:sz w:val="20"/>
          <w:szCs w:val="20"/>
          <w:lang w:val="en-MY" w:bidi="ar-SA"/>
        </w:rPr>
        <w:t>’s</w:t>
      </w:r>
      <w:r w:rsidRPr="00606C54">
        <w:rPr>
          <w:rFonts w:ascii="Times New Roman" w:eastAsia="MS Mincho" w:hAnsi="Times New Roman"/>
          <w:bCs/>
          <w:iCs/>
          <w:sz w:val="20"/>
          <w:szCs w:val="20"/>
          <w:lang w:bidi="ar-SA"/>
        </w:rPr>
        <w:t xml:space="preserve"> coastal areas range from 228 to 1150 ppm [41]. </w:t>
      </w:r>
      <w:r w:rsidRPr="00606C54">
        <w:rPr>
          <w:rFonts w:ascii="Times New Roman" w:eastAsia="MS Mincho" w:hAnsi="Times New Roman"/>
          <w:bCs/>
          <w:iCs/>
          <w:sz w:val="20"/>
          <w:szCs w:val="20"/>
          <w:lang w:val="en-MY" w:bidi="ar-SA"/>
        </w:rPr>
        <w:t>It was surmised</w:t>
      </w:r>
      <w:r w:rsidRPr="00606C54">
        <w:rPr>
          <w:rFonts w:ascii="Times New Roman" w:eastAsia="MS Mincho" w:hAnsi="Times New Roman"/>
          <w:bCs/>
          <w:iCs/>
          <w:sz w:val="20"/>
          <w:szCs w:val="20"/>
          <w:lang w:bidi="ar-SA"/>
        </w:rPr>
        <w:t xml:space="preserve"> that the trace value might be attributed to the anthropogenic sources and/or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natural background value</w:t>
      </w:r>
      <w:r w:rsidR="000A01FC">
        <w:rPr>
          <w:rFonts w:ascii="Times New Roman" w:eastAsia="MS Mincho" w:hAnsi="Times New Roman"/>
          <w:bCs/>
          <w:iCs/>
          <w:sz w:val="20"/>
          <w:szCs w:val="20"/>
          <w:lang w:bidi="ar-SA"/>
        </w:rPr>
        <w:t>.</w:t>
      </w:r>
      <w:r w:rsidRPr="000A01FC">
        <w:rPr>
          <w:rFonts w:ascii="Times New Roman" w:eastAsia="MS Mincho" w:hAnsi="Times New Roman"/>
          <w:bCs/>
          <w:iCs/>
          <w:sz w:val="20"/>
          <w:szCs w:val="20"/>
          <w:lang w:bidi="ar-SA"/>
        </w:rPr>
        <w:t xml:space="preserve"> </w:t>
      </w:r>
    </w:p>
    <w:p w14:paraId="789F5E06" w14:textId="77777777"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u w:val="single"/>
          <w:lang w:bidi="ar-SA"/>
        </w:rPr>
      </w:pPr>
    </w:p>
    <w:p w14:paraId="14E702DE" w14:textId="77777777" w:rsidR="00606C54" w:rsidRPr="00606C54" w:rsidRDefault="00606C54" w:rsidP="00606C54">
      <w:pPr>
        <w:keepNext/>
        <w:keepLines/>
        <w:tabs>
          <w:tab w:val="left" w:pos="1350"/>
        </w:tabs>
        <w:spacing w:after="0"/>
        <w:ind w:left="1350" w:hanging="1350"/>
        <w:jc w:val="both"/>
        <w:outlineLvl w:val="1"/>
        <w:rPr>
          <w:rFonts w:ascii="Times New Roman" w:eastAsia="Calibri" w:hAnsi="Times New Roman"/>
          <w:b/>
          <w:iCs/>
          <w:sz w:val="20"/>
          <w:szCs w:val="20"/>
          <w:lang w:eastAsia="ja-JP" w:bidi="ar-SA"/>
        </w:rPr>
      </w:pPr>
      <w:bookmarkStart w:id="22" w:name="_Toc365535259"/>
      <w:bookmarkStart w:id="23" w:name="_Toc362167008"/>
      <w:bookmarkStart w:id="24" w:name="_Toc361714579"/>
      <w:r w:rsidRPr="00606C54">
        <w:rPr>
          <w:rFonts w:ascii="Times New Roman" w:eastAsia="Calibri" w:hAnsi="Times New Roman"/>
          <w:b/>
          <w:iCs/>
          <w:sz w:val="20"/>
          <w:szCs w:val="20"/>
          <w:lang w:eastAsia="ja-JP" w:bidi="ar-SA"/>
        </w:rPr>
        <w:t>Optimum pH for the biosorption of Pb(II)</w:t>
      </w:r>
      <w:bookmarkEnd w:id="22"/>
      <w:bookmarkEnd w:id="23"/>
      <w:bookmarkEnd w:id="24"/>
    </w:p>
    <w:p w14:paraId="7D65CDB2" w14:textId="3FDBEECD"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r w:rsidRPr="00606C54">
        <w:rPr>
          <w:rFonts w:ascii="Times New Roman" w:eastAsia="MS Mincho" w:hAnsi="Times New Roman"/>
          <w:bCs/>
          <w:iCs/>
          <w:sz w:val="20"/>
          <w:szCs w:val="20"/>
          <w:lang w:bidi="ar-SA"/>
        </w:rPr>
        <w:t xml:space="preserve">The solution pH plays a vital role in controlling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metal ions biosorption of metal ions from aqueous solutions [42]. The findings presented in Figure 3 indicate that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removal of Pb(II) was low in an acidic medium (pH &lt; 4). As pH increased, the metal uptake also increased until pH 4. Afterwards (beyond pH &gt; 4), it showed a rapid decline. At low pH,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biosorption capacity </w:t>
      </w:r>
      <w:r w:rsidRPr="00606C54">
        <w:rPr>
          <w:rFonts w:ascii="Times New Roman" w:eastAsia="MS Mincho" w:hAnsi="Times New Roman"/>
          <w:bCs/>
          <w:iCs/>
          <w:sz w:val="20"/>
          <w:szCs w:val="20"/>
          <w:lang w:val="en-MY" w:bidi="ar-SA"/>
        </w:rPr>
        <w:t>wa</w:t>
      </w:r>
      <w:r w:rsidRPr="00606C54">
        <w:rPr>
          <w:rFonts w:ascii="Times New Roman" w:eastAsia="MS Mincho" w:hAnsi="Times New Roman"/>
          <w:bCs/>
          <w:iCs/>
          <w:sz w:val="20"/>
          <w:szCs w:val="20"/>
          <w:lang w:bidi="ar-SA"/>
        </w:rPr>
        <w:t>s low due to the competition for binding sites on the biomass surface between the H</w:t>
      </w:r>
      <w:r w:rsidRPr="00606C54">
        <w:rPr>
          <w:rFonts w:ascii="Times New Roman" w:eastAsia="MS Mincho" w:hAnsi="Times New Roman"/>
          <w:bCs/>
          <w:iCs/>
          <w:sz w:val="20"/>
          <w:szCs w:val="20"/>
          <w:vertAlign w:val="superscript"/>
          <w:lang w:bidi="ar-SA"/>
        </w:rPr>
        <w:t xml:space="preserve">+ </w:t>
      </w:r>
      <w:r w:rsidRPr="00606C54">
        <w:rPr>
          <w:rFonts w:ascii="Times New Roman" w:eastAsia="MS Mincho" w:hAnsi="Times New Roman"/>
          <w:bCs/>
          <w:iCs/>
          <w:sz w:val="20"/>
          <w:szCs w:val="20"/>
          <w:lang w:bidi="ar-SA"/>
        </w:rPr>
        <w:t xml:space="preserve">ions and the metal ions [43, 44]. Therefore, repulsive forces between the metal ions and the protonated biomass cell wall </w:t>
      </w:r>
      <w:r w:rsidRPr="00606C54">
        <w:rPr>
          <w:rFonts w:ascii="Times New Roman" w:eastAsia="MS Mincho" w:hAnsi="Times New Roman"/>
          <w:bCs/>
          <w:iCs/>
          <w:sz w:val="20"/>
          <w:szCs w:val="20"/>
          <w:lang w:val="en-MY" w:bidi="ar-SA"/>
        </w:rPr>
        <w:t xml:space="preserve">prevent </w:t>
      </w:r>
      <w:r w:rsidRPr="00606C54">
        <w:rPr>
          <w:rFonts w:ascii="Times New Roman" w:eastAsia="MS Mincho" w:hAnsi="Times New Roman"/>
          <w:bCs/>
          <w:iCs/>
          <w:sz w:val="20"/>
          <w:szCs w:val="20"/>
          <w:lang w:bidi="ar-SA"/>
        </w:rPr>
        <w:t xml:space="preserve">the metal ions from approaching the cell wall [38]. </w:t>
      </w:r>
      <w:r w:rsidRPr="00606C54">
        <w:rPr>
          <w:rFonts w:ascii="Times New Roman" w:eastAsia="MS Mincho" w:hAnsi="Times New Roman"/>
          <w:bCs/>
          <w:iCs/>
          <w:sz w:val="20"/>
          <w:szCs w:val="20"/>
          <w:lang w:val="en-MY" w:bidi="ar-SA"/>
        </w:rPr>
        <w:t>However</w:t>
      </w:r>
      <w:r w:rsidRPr="00606C54">
        <w:rPr>
          <w:rFonts w:ascii="Times New Roman" w:eastAsia="MS Mincho" w:hAnsi="Times New Roman"/>
          <w:bCs/>
          <w:iCs/>
          <w:sz w:val="20"/>
          <w:szCs w:val="20"/>
          <w:lang w:bidi="ar-SA"/>
        </w:rPr>
        <w:t>, as pH increased, the concentration of H</w:t>
      </w:r>
      <w:r w:rsidRPr="00606C54">
        <w:rPr>
          <w:rFonts w:ascii="Times New Roman" w:eastAsia="MS Mincho" w:hAnsi="Times New Roman"/>
          <w:bCs/>
          <w:iCs/>
          <w:sz w:val="20"/>
          <w:szCs w:val="20"/>
          <w:vertAlign w:val="superscript"/>
          <w:lang w:bidi="ar-SA"/>
        </w:rPr>
        <w:t>+</w:t>
      </w:r>
      <w:r w:rsidRPr="00606C54">
        <w:rPr>
          <w:rFonts w:ascii="Times New Roman" w:eastAsia="MS Mincho" w:hAnsi="Times New Roman"/>
          <w:bCs/>
          <w:iCs/>
          <w:sz w:val="20"/>
          <w:szCs w:val="20"/>
          <w:lang w:bidi="ar-SA"/>
        </w:rPr>
        <w:t xml:space="preserve"> ions declined. The biomass became more negatively charged, resulting in the electrostatic attraction of the positive charge metal ions. Therefore, biosorption </w:t>
      </w:r>
      <w:r w:rsidRPr="00606C54">
        <w:rPr>
          <w:rFonts w:ascii="Times New Roman" w:eastAsia="MS Mincho" w:hAnsi="Times New Roman"/>
          <w:bCs/>
          <w:iCs/>
          <w:sz w:val="20"/>
          <w:szCs w:val="20"/>
          <w:lang w:val="en-MY" w:bidi="ar-SA"/>
        </w:rPr>
        <w:t xml:space="preserve">rose </w:t>
      </w:r>
      <w:r w:rsidRPr="00606C54">
        <w:rPr>
          <w:rFonts w:ascii="Times New Roman" w:eastAsia="MS Mincho" w:hAnsi="Times New Roman"/>
          <w:bCs/>
          <w:iCs/>
          <w:sz w:val="20"/>
          <w:szCs w:val="20"/>
          <w:lang w:bidi="ar-SA"/>
        </w:rPr>
        <w:t xml:space="preserve">to its maximum point [45, 46, 47] before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precipitation of metal hydroxides </w:t>
      </w:r>
      <w:r w:rsidRPr="00606C54">
        <w:rPr>
          <w:rFonts w:ascii="Times New Roman" w:eastAsia="MS Mincho" w:hAnsi="Times New Roman"/>
          <w:bCs/>
          <w:iCs/>
          <w:sz w:val="20"/>
          <w:szCs w:val="20"/>
          <w:lang w:val="en-MY" w:bidi="ar-SA"/>
        </w:rPr>
        <w:t xml:space="preserve">occurred </w:t>
      </w:r>
      <w:r w:rsidRPr="00606C54">
        <w:rPr>
          <w:rFonts w:ascii="Times New Roman" w:eastAsia="MS Mincho" w:hAnsi="Times New Roman"/>
          <w:bCs/>
          <w:iCs/>
          <w:sz w:val="20"/>
          <w:szCs w:val="20"/>
          <w:lang w:bidi="ar-SA"/>
        </w:rPr>
        <w:t>at higher pH due to</w:t>
      </w:r>
      <w:r w:rsidRPr="00606C54">
        <w:rPr>
          <w:rFonts w:ascii="Times New Roman" w:eastAsia="MS Mincho" w:hAnsi="Times New Roman"/>
          <w:bCs/>
          <w:iCs/>
          <w:sz w:val="20"/>
          <w:szCs w:val="20"/>
          <w:lang w:val="en-MY" w:bidi="ar-SA"/>
        </w:rPr>
        <w:t xml:space="preserve"> the</w:t>
      </w:r>
      <w:r w:rsidRPr="00606C54">
        <w:rPr>
          <w:rFonts w:ascii="Times New Roman" w:eastAsia="MS Mincho" w:hAnsi="Times New Roman"/>
          <w:bCs/>
          <w:iCs/>
          <w:sz w:val="20"/>
          <w:szCs w:val="20"/>
          <w:lang w:bidi="ar-SA"/>
        </w:rPr>
        <w:t xml:space="preserve"> high OH</w:t>
      </w:r>
      <w:r w:rsidRPr="00606C54">
        <w:rPr>
          <w:rFonts w:ascii="Times New Roman" w:eastAsia="MS Mincho" w:hAnsi="Times New Roman"/>
          <w:bCs/>
          <w:iCs/>
          <w:sz w:val="20"/>
          <w:szCs w:val="20"/>
          <w:vertAlign w:val="superscript"/>
          <w:lang w:bidi="ar-SA"/>
        </w:rPr>
        <w:t>-</w:t>
      </w:r>
      <w:r w:rsidRPr="00606C54">
        <w:rPr>
          <w:rFonts w:ascii="Times New Roman" w:eastAsia="MS Mincho" w:hAnsi="Times New Roman"/>
          <w:bCs/>
          <w:iCs/>
          <w:sz w:val="20"/>
          <w:szCs w:val="20"/>
          <w:lang w:bidi="ar-SA"/>
        </w:rPr>
        <w:t xml:space="preserve"> ion concentration</w:t>
      </w:r>
      <w:r w:rsidRPr="00606C54">
        <w:rPr>
          <w:rFonts w:ascii="Times New Roman" w:eastAsia="MS Mincho" w:hAnsi="Times New Roman"/>
          <w:bCs/>
          <w:iCs/>
          <w:sz w:val="20"/>
          <w:szCs w:val="20"/>
          <w:lang w:val="en-MY" w:bidi="ar-SA"/>
        </w:rPr>
        <w:t>. This</w:t>
      </w:r>
      <w:r w:rsidRPr="00606C54">
        <w:rPr>
          <w:rFonts w:ascii="Times New Roman" w:eastAsia="MS Mincho" w:hAnsi="Times New Roman"/>
          <w:bCs/>
          <w:iCs/>
          <w:sz w:val="20"/>
          <w:szCs w:val="20"/>
          <w:lang w:bidi="ar-SA"/>
        </w:rPr>
        <w:t xml:space="preserve"> result</w:t>
      </w:r>
      <w:r w:rsidRPr="00606C54">
        <w:rPr>
          <w:rFonts w:ascii="Times New Roman" w:eastAsia="MS Mincho" w:hAnsi="Times New Roman"/>
          <w:bCs/>
          <w:iCs/>
          <w:sz w:val="20"/>
          <w:szCs w:val="20"/>
          <w:lang w:val="en-MY" w:bidi="ar-SA"/>
        </w:rPr>
        <w:t>ed</w:t>
      </w:r>
      <w:r w:rsidRPr="00606C54">
        <w:rPr>
          <w:rFonts w:ascii="Times New Roman" w:eastAsia="MS Mincho" w:hAnsi="Times New Roman"/>
          <w:bCs/>
          <w:iCs/>
          <w:sz w:val="20"/>
          <w:szCs w:val="20"/>
          <w:lang w:bidi="ar-SA"/>
        </w:rPr>
        <w:t xml:space="preserve"> in </w:t>
      </w:r>
      <w:r w:rsidRPr="00606C54">
        <w:rPr>
          <w:rFonts w:ascii="Times New Roman" w:eastAsia="MS Mincho" w:hAnsi="Times New Roman"/>
          <w:bCs/>
          <w:iCs/>
          <w:sz w:val="20"/>
          <w:szCs w:val="20"/>
          <w:lang w:val="en-MY" w:bidi="ar-SA"/>
        </w:rPr>
        <w:t xml:space="preserve">a </w:t>
      </w:r>
      <w:r w:rsidRPr="00606C54">
        <w:rPr>
          <w:rFonts w:ascii="Times New Roman" w:eastAsia="MS Mincho" w:hAnsi="Times New Roman"/>
          <w:bCs/>
          <w:iCs/>
          <w:sz w:val="20"/>
          <w:szCs w:val="20"/>
          <w:lang w:bidi="ar-SA"/>
        </w:rPr>
        <w:t>declin</w:t>
      </w:r>
      <w:r w:rsidRPr="00606C54">
        <w:rPr>
          <w:rFonts w:ascii="Times New Roman" w:eastAsia="MS Mincho" w:hAnsi="Times New Roman"/>
          <w:bCs/>
          <w:iCs/>
          <w:sz w:val="20"/>
          <w:szCs w:val="20"/>
          <w:lang w:val="en-MY" w:bidi="ar-SA"/>
        </w:rPr>
        <w:t>e</w:t>
      </w:r>
      <w:r w:rsidRPr="00606C54">
        <w:rPr>
          <w:rFonts w:ascii="Times New Roman" w:eastAsia="MS Mincho" w:hAnsi="Times New Roman"/>
          <w:bCs/>
          <w:iCs/>
          <w:sz w:val="20"/>
          <w:szCs w:val="20"/>
          <w:lang w:bidi="ar-SA"/>
        </w:rPr>
        <w:t xml:space="preserve"> </w:t>
      </w:r>
      <w:r w:rsidRPr="00606C54">
        <w:rPr>
          <w:rFonts w:ascii="Times New Roman" w:eastAsia="MS Mincho" w:hAnsi="Times New Roman"/>
          <w:bCs/>
          <w:iCs/>
          <w:sz w:val="20"/>
          <w:szCs w:val="20"/>
          <w:lang w:val="en-MY" w:bidi="ar-SA"/>
        </w:rPr>
        <w:t xml:space="preserve">in </w:t>
      </w:r>
      <w:r w:rsidRPr="00606C54">
        <w:rPr>
          <w:rFonts w:ascii="Times New Roman" w:eastAsia="MS Mincho" w:hAnsi="Times New Roman"/>
          <w:bCs/>
          <w:iCs/>
          <w:sz w:val="20"/>
          <w:szCs w:val="20"/>
          <w:lang w:bidi="ar-SA"/>
        </w:rPr>
        <w:t xml:space="preserve">uptake capacity [48] and the electrostatic repulsion between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negatively charged anionic species in the solution [49]. This study revealed that the adsorption rate of Pb(II) ions was optimum at pH 4 </w:t>
      </w:r>
      <w:r w:rsidRPr="00606C54">
        <w:rPr>
          <w:rFonts w:ascii="Times New Roman" w:eastAsia="MS Mincho" w:hAnsi="Times New Roman"/>
          <w:bCs/>
          <w:iCs/>
          <w:sz w:val="20"/>
          <w:szCs w:val="20"/>
          <w:lang w:val="en-MY" w:bidi="ar-SA"/>
        </w:rPr>
        <w:t xml:space="preserve">and </w:t>
      </w:r>
      <w:r w:rsidRPr="00606C54">
        <w:rPr>
          <w:rFonts w:ascii="Times New Roman" w:eastAsia="MS Mincho" w:hAnsi="Times New Roman"/>
          <w:bCs/>
          <w:iCs/>
          <w:sz w:val="20"/>
          <w:szCs w:val="20"/>
          <w:lang w:bidi="ar-SA"/>
        </w:rPr>
        <w:t xml:space="preserve">with a concentration of 4.7 mg/g. Therefore, the findings suggest </w:t>
      </w:r>
      <w:r w:rsidRPr="00606C54">
        <w:rPr>
          <w:rFonts w:ascii="Times New Roman" w:eastAsia="MS Mincho" w:hAnsi="Times New Roman"/>
          <w:bCs/>
          <w:iCs/>
          <w:sz w:val="20"/>
          <w:szCs w:val="20"/>
          <w:lang w:val="en-MY" w:bidi="ar-SA"/>
        </w:rPr>
        <w:t xml:space="preserve">that </w:t>
      </w:r>
      <w:r w:rsidRPr="00606C54">
        <w:rPr>
          <w:rFonts w:ascii="Times New Roman" w:eastAsia="MS Mincho" w:hAnsi="Times New Roman"/>
          <w:bCs/>
          <w:iCs/>
          <w:sz w:val="20"/>
          <w:szCs w:val="20"/>
          <w:lang w:bidi="ar-SA"/>
        </w:rPr>
        <w:t xml:space="preserve">pH 4 is the </w:t>
      </w:r>
      <w:r w:rsidRPr="00606C54">
        <w:rPr>
          <w:rFonts w:ascii="Times New Roman" w:eastAsia="MS Mincho" w:hAnsi="Times New Roman"/>
          <w:bCs/>
          <w:iCs/>
          <w:sz w:val="20"/>
          <w:szCs w:val="20"/>
          <w:lang w:val="en-MY" w:bidi="ar-SA"/>
        </w:rPr>
        <w:t xml:space="preserve">most effective </w:t>
      </w:r>
      <w:r w:rsidRPr="00606C54">
        <w:rPr>
          <w:rFonts w:ascii="Times New Roman" w:eastAsia="MS Mincho" w:hAnsi="Times New Roman"/>
          <w:bCs/>
          <w:iCs/>
          <w:sz w:val="20"/>
          <w:szCs w:val="20"/>
          <w:lang w:bidi="ar-SA"/>
        </w:rPr>
        <w:t xml:space="preserve">pH </w:t>
      </w:r>
      <w:r w:rsidRPr="00606C54">
        <w:rPr>
          <w:rFonts w:ascii="Times New Roman" w:eastAsia="MS Mincho" w:hAnsi="Times New Roman"/>
          <w:bCs/>
          <w:iCs/>
          <w:sz w:val="20"/>
          <w:szCs w:val="20"/>
          <w:lang w:val="en-MY" w:bidi="ar-SA"/>
        </w:rPr>
        <w:t xml:space="preserve">to use </w:t>
      </w:r>
      <w:r w:rsidRPr="00606C54">
        <w:rPr>
          <w:rFonts w:ascii="Times New Roman" w:eastAsia="MS Mincho" w:hAnsi="Times New Roman"/>
          <w:bCs/>
          <w:iCs/>
          <w:sz w:val="20"/>
          <w:szCs w:val="20"/>
          <w:lang w:bidi="ar-SA"/>
        </w:rPr>
        <w:t>for Pb (II) biosorption</w:t>
      </w:r>
      <w:r w:rsidRPr="00606C54">
        <w:rPr>
          <w:rFonts w:ascii="Times New Roman" w:eastAsia="MS Mincho" w:hAnsi="Times New Roman"/>
          <w:bCs/>
          <w:iCs/>
          <w:sz w:val="20"/>
          <w:szCs w:val="20"/>
          <w:lang w:val="en-MY" w:bidi="ar-SA"/>
        </w:rPr>
        <w:t>,</w:t>
      </w:r>
      <w:r w:rsidRPr="00606C54">
        <w:rPr>
          <w:rFonts w:ascii="Times New Roman" w:eastAsia="MS Mincho" w:hAnsi="Times New Roman"/>
          <w:bCs/>
          <w:iCs/>
          <w:sz w:val="20"/>
          <w:szCs w:val="20"/>
          <w:lang w:bidi="ar-SA"/>
        </w:rPr>
        <w:t xml:space="preserve"> </w:t>
      </w:r>
      <w:r>
        <w:rPr>
          <w:rFonts w:ascii="Times New Roman" w:eastAsia="MS Mincho" w:hAnsi="Times New Roman"/>
          <w:bCs/>
          <w:iCs/>
          <w:sz w:val="20"/>
          <w:szCs w:val="20"/>
          <w:lang w:bidi="ar-SA"/>
        </w:rPr>
        <w:t xml:space="preserve"> </w:t>
      </w:r>
      <w:r w:rsidRPr="00606C54">
        <w:rPr>
          <w:rFonts w:ascii="Times New Roman" w:eastAsia="MS Mincho" w:hAnsi="Times New Roman"/>
          <w:bCs/>
          <w:iCs/>
          <w:sz w:val="20"/>
          <w:szCs w:val="20"/>
          <w:lang w:val="en-MY" w:bidi="ar-SA"/>
        </w:rPr>
        <w:t xml:space="preserve">based </w:t>
      </w:r>
      <w:r>
        <w:rPr>
          <w:rFonts w:ascii="Times New Roman" w:eastAsia="MS Mincho" w:hAnsi="Times New Roman"/>
          <w:bCs/>
          <w:iCs/>
          <w:sz w:val="20"/>
          <w:szCs w:val="20"/>
          <w:lang w:val="en-MY" w:bidi="ar-SA"/>
        </w:rPr>
        <w:t xml:space="preserve"> </w:t>
      </w:r>
      <w:r w:rsidRPr="00606C54">
        <w:rPr>
          <w:rFonts w:ascii="Times New Roman" w:eastAsia="MS Mincho" w:hAnsi="Times New Roman"/>
          <w:bCs/>
          <w:iCs/>
          <w:sz w:val="20"/>
          <w:szCs w:val="20"/>
          <w:lang w:val="en-MY" w:bidi="ar-SA"/>
        </w:rPr>
        <w:t xml:space="preserve">on </w:t>
      </w:r>
      <w:r w:rsidRPr="00606C54">
        <w:rPr>
          <w:rFonts w:ascii="Times New Roman" w:eastAsia="MS Mincho" w:hAnsi="Times New Roman"/>
          <w:bCs/>
          <w:iCs/>
          <w:sz w:val="20"/>
          <w:szCs w:val="20"/>
          <w:lang w:bidi="ar-SA"/>
        </w:rPr>
        <w:t>the range investigated (Fig</w:t>
      </w:r>
      <w:r w:rsidRPr="00606C54">
        <w:rPr>
          <w:rFonts w:ascii="Times New Roman" w:eastAsia="MS Mincho" w:hAnsi="Times New Roman"/>
          <w:bCs/>
          <w:iCs/>
          <w:sz w:val="20"/>
          <w:szCs w:val="20"/>
          <w:lang w:val="en-MY" w:bidi="ar-SA"/>
        </w:rPr>
        <w:t>ure 3</w:t>
      </w:r>
      <w:r w:rsidRPr="00606C54">
        <w:rPr>
          <w:rFonts w:ascii="Times New Roman" w:eastAsia="MS Mincho" w:hAnsi="Times New Roman"/>
          <w:bCs/>
          <w:iCs/>
          <w:sz w:val="20"/>
          <w:szCs w:val="20"/>
          <w:lang w:bidi="ar-SA"/>
        </w:rPr>
        <w:t>).</w:t>
      </w:r>
    </w:p>
    <w:p w14:paraId="6C273507" w14:textId="5BCF0680" w:rsidR="000A01FC" w:rsidRDefault="000A01FC"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30394FF7" w14:textId="3F6768A5" w:rsidR="00923861" w:rsidRDefault="00923861"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6E74F637" w14:textId="77777777" w:rsidR="00252451" w:rsidRDefault="00252451" w:rsidP="00606C54">
      <w:pPr>
        <w:tabs>
          <w:tab w:val="left" w:pos="2070"/>
        </w:tabs>
        <w:autoSpaceDE w:val="0"/>
        <w:autoSpaceDN w:val="0"/>
        <w:adjustRightInd w:val="0"/>
        <w:spacing w:after="0"/>
        <w:jc w:val="both"/>
        <w:rPr>
          <w:rFonts w:ascii="Times New Roman" w:eastAsia="MS Mincho" w:hAnsi="Times New Roman"/>
          <w:bCs/>
          <w:iCs/>
          <w:sz w:val="20"/>
          <w:szCs w:val="20"/>
          <w:lang w:bidi="ar-SA"/>
        </w:rPr>
        <w:sectPr w:rsidR="00252451" w:rsidSect="002C60A1">
          <w:footerReference w:type="even" r:id="rId16"/>
          <w:footerReference w:type="default" r:id="rId17"/>
          <w:type w:val="evenPage"/>
          <w:pgSz w:w="12240" w:h="15840" w:code="1"/>
          <w:pgMar w:top="1800" w:right="1469" w:bottom="1699" w:left="1440" w:header="706" w:footer="706" w:gutter="0"/>
          <w:pgNumType w:start="1"/>
          <w:cols w:num="2" w:space="403"/>
          <w:docGrid w:linePitch="360"/>
        </w:sectPr>
      </w:pPr>
    </w:p>
    <w:p w14:paraId="372A31CC" w14:textId="77777777" w:rsidR="000A01FC" w:rsidRPr="00606C54" w:rsidRDefault="000A01FC" w:rsidP="000A01FC">
      <w:pPr>
        <w:tabs>
          <w:tab w:val="left" w:pos="2070"/>
        </w:tabs>
        <w:autoSpaceDE w:val="0"/>
        <w:autoSpaceDN w:val="0"/>
        <w:adjustRightInd w:val="0"/>
        <w:spacing w:after="0"/>
        <w:jc w:val="both"/>
        <w:rPr>
          <w:rFonts w:ascii="Times New Roman" w:eastAsia="MS Mincho" w:hAnsi="Times New Roman"/>
          <w:bCs/>
          <w:iCs/>
          <w:sz w:val="20"/>
          <w:szCs w:val="20"/>
          <w:lang w:bidi="ar-SA"/>
        </w:rPr>
      </w:pPr>
      <w:r w:rsidRPr="00606C54">
        <w:rPr>
          <w:rFonts w:ascii="Times New Roman" w:eastAsia="MS Mincho" w:hAnsi="Times New Roman"/>
          <w:bCs/>
          <w:iCs/>
          <w:sz w:val="20"/>
          <w:szCs w:val="20"/>
          <w:lang w:bidi="ar-SA"/>
        </w:rPr>
        <w:lastRenderedPageBreak/>
        <w:t xml:space="preserve">Various biosorption studies employing algal biomass have </w:t>
      </w:r>
      <w:r w:rsidRPr="00606C54">
        <w:rPr>
          <w:rFonts w:ascii="Times New Roman" w:eastAsia="MS Mincho" w:hAnsi="Times New Roman"/>
          <w:bCs/>
          <w:iCs/>
          <w:sz w:val="20"/>
          <w:szCs w:val="20"/>
          <w:lang w:val="en-MY" w:bidi="ar-SA"/>
        </w:rPr>
        <w:t xml:space="preserve">demonstrated </w:t>
      </w:r>
      <w:r w:rsidRPr="00606C54">
        <w:rPr>
          <w:rFonts w:ascii="Times New Roman" w:eastAsia="MS Mincho" w:hAnsi="Times New Roman"/>
          <w:bCs/>
          <w:iCs/>
          <w:sz w:val="20"/>
          <w:szCs w:val="20"/>
          <w:lang w:bidi="ar-SA"/>
        </w:rPr>
        <w:t>similar results (</w:t>
      </w:r>
      <w:r w:rsidRPr="00606C54">
        <w:rPr>
          <w:rFonts w:ascii="Times New Roman" w:eastAsia="MS Mincho" w:hAnsi="Times New Roman"/>
          <w:bCs/>
          <w:iCs/>
          <w:sz w:val="20"/>
          <w:szCs w:val="20"/>
          <w:lang w:val="en-MY" w:bidi="ar-SA"/>
        </w:rPr>
        <w:t xml:space="preserve">that </w:t>
      </w:r>
      <w:r w:rsidRPr="00606C54">
        <w:rPr>
          <w:rFonts w:ascii="Times New Roman" w:eastAsia="MS Mincho" w:hAnsi="Times New Roman"/>
          <w:bCs/>
          <w:iCs/>
          <w:sz w:val="20"/>
          <w:szCs w:val="20"/>
          <w:lang w:bidi="ar-SA"/>
        </w:rPr>
        <w:t xml:space="preserve">pH 4 </w:t>
      </w:r>
      <w:r w:rsidRPr="00606C54">
        <w:rPr>
          <w:rFonts w:ascii="Times New Roman" w:eastAsia="MS Mincho" w:hAnsi="Times New Roman"/>
          <w:bCs/>
          <w:iCs/>
          <w:sz w:val="20"/>
          <w:szCs w:val="20"/>
          <w:lang w:val="en-MY" w:bidi="ar-SA"/>
        </w:rPr>
        <w:t>i</w:t>
      </w:r>
      <w:r w:rsidRPr="00606C54">
        <w:rPr>
          <w:rFonts w:ascii="Times New Roman" w:eastAsia="MS Mincho" w:hAnsi="Times New Roman"/>
          <w:bCs/>
          <w:iCs/>
          <w:sz w:val="20"/>
          <w:szCs w:val="20"/>
          <w:lang w:bidi="ar-SA"/>
        </w:rPr>
        <w:t xml:space="preserve">s </w:t>
      </w:r>
      <w:r w:rsidRPr="00606C54">
        <w:rPr>
          <w:rFonts w:ascii="Times New Roman" w:eastAsia="MS Mincho" w:hAnsi="Times New Roman"/>
          <w:bCs/>
          <w:iCs/>
          <w:sz w:val="20"/>
          <w:szCs w:val="20"/>
          <w:lang w:val="en-MY" w:bidi="ar-SA"/>
        </w:rPr>
        <w:t>the</w:t>
      </w:r>
      <w:r w:rsidRPr="00606C54">
        <w:rPr>
          <w:rFonts w:ascii="Times New Roman" w:eastAsia="MS Mincho" w:hAnsi="Times New Roman"/>
          <w:bCs/>
          <w:iCs/>
          <w:sz w:val="20"/>
          <w:szCs w:val="20"/>
          <w:lang w:bidi="ar-SA"/>
        </w:rPr>
        <w:t xml:space="preserve"> optimum pH). These include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ADDIN CSL_CITATION {"citationItems":[{"id":"ITEM-1","itemData":{"DOI":"10.1016/j.jhazmat.2010.09.108","ISSN":"03043894","PMID":"21035261","abstract":"Chondracanthus chamissoi is an efficient biosorbent for Pb(II) and Cd(II). The sorption efficiency increases with pH and reaches an optimum around pH 4. Maximum sorption capacity reaches 1.37mmolPbg-1 and 0.76mmolCdg-1. The biosorbent has a marked preference for Pb(II) over Cd(II), though insufficient for separating these metals by a simple sorption step. The uptake kinetics is controlled by the resistance to intraparticle diffusion with a limited impact of particle size, metal concentration and sorbent dosage. In the present case, grinding the biomass does not improve sorption capacity and uptake kinetics. The sorption of metal ions is probably due to their interaction with carrageenan (one of the main constituents of the biosorbent): sulfonic groups (on the sulfated polysaccharide) have a higher affinity for Pb(II) than for Cd(II) according to HSAB rules. © 2010 Elsevier B.V.","author":[{"dropping-particle":"","family":"Yipmantin","given":"Andrea","non-dropping-particle":"","parse-names":false,"suffix":""},{"dropping-particle":"","family":"Maldonado","given":"Holger J.","non-dropping-particle":"","parse-names":false,"suffix":""},{"dropping-particle":"","family":"Ly","given":"Martha","non-dropping-particle":"","parse-names":false,"suffix":""},{"dropping-particle":"","family":"Taulemesse","given":"Jean Marie","non-dropping-particle":"","parse-names":false,"suffix":""},{"dropping-particle":"","family":"Guibal","given":"Eric","non-dropping-particle":"","parse-names":false,"suffix":""}],"container-title":"Journal of Hazardous Materials","id":"ITEM-1","issue":"2-3","issued":{"date-parts":[["2011"]]},"page":"922-929","publisher":"Elsevier B.V.","title":"Pb(II) and Cd(II) biosorption on Chondracanthus chamissoi (a red alga)","type":"article-journal","volume":"185"},"uris":["http://www.mendeley.com/documents/?uuid=85ca7898-5b38-46e7-bc23-5ee48c8b38d7"]}],"mendeley":{"formattedCitation":"(Yipmantin et al., 2011)","manualFormatting":"(Yipmantin et al., ","plainTextFormattedCitation":"(Yipmantin et al., 2011)","previouslyFormattedCitation":"(Yipmantin et al., 2011)"},"properties":{"noteIndex":0},"schema":"https://github.com/citation-style-language/schema/raw/master/csl-citation.json"}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val="en-MY" w:bidi="ar-SA"/>
        </w:rPr>
        <w:t xml:space="preserve">the works by </w:t>
      </w:r>
      <w:r w:rsidRPr="00606C54">
        <w:rPr>
          <w:rFonts w:ascii="Times New Roman" w:eastAsia="MS Mincho" w:hAnsi="Times New Roman"/>
          <w:bCs/>
          <w:iCs/>
          <w:sz w:val="20"/>
          <w:szCs w:val="20"/>
          <w:lang w:bidi="ar-SA"/>
        </w:rPr>
        <w:t xml:space="preserve">Yipmantin et al.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[50] using </w:t>
      </w:r>
      <w:r w:rsidRPr="00606C54">
        <w:rPr>
          <w:rFonts w:ascii="Times New Roman" w:eastAsia="MS Mincho" w:hAnsi="Times New Roman"/>
          <w:bCs/>
          <w:i/>
          <w:sz w:val="20"/>
          <w:szCs w:val="20"/>
          <w:lang w:bidi="ar-SA"/>
        </w:rPr>
        <w:t>Chondracanthus</w:t>
      </w:r>
      <w:r w:rsidRPr="00606C54">
        <w:rPr>
          <w:rFonts w:ascii="Times New Roman" w:eastAsia="MS Mincho" w:hAnsi="Times New Roman"/>
          <w:bCs/>
          <w:iCs/>
          <w:sz w:val="20"/>
          <w:szCs w:val="20"/>
          <w:lang w:bidi="ar-SA"/>
        </w:rPr>
        <w:t xml:space="preserve"> (red alga);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 xml:space="preserve">ADDIN CSL_CITATION {"citationItems":[{"id":"ITEM-1","itemData":{"DOI":"10.1007/s12257-011-0578-5","ISSN":"12268372","abstract":"Heavy metal ions (Pb2+, Cd2+, Mn2+, Cu2+, and Cr2O72-) were biosorbed by brown seaweeds (Hizikia fusiformis, Laminaria japonica, and Undaria pinnatifida) collected from the southern coast of South Korea. The biosorption of heavy metal ions was pH-dependent showing a minimum absorption at pH 2 and a maximum biosorption at pH 4 (Pb2+, Cd2+, Mn2+, and Cr2O72-) or pH 6 (Cu2+). Biosorption increased most noticeably for pH changes from 2 to 3. In the latter pH range, biosorption increased, because a higher pH decreased the electrostatic repulsion between metal ions and functional groups on the seaweed. In the pH range of 2 </w:instrText>
      </w:r>
      <w:r w:rsidRPr="00606C54">
        <w:rPr>
          <w:rFonts w:ascii="Cambria Math" w:eastAsia="MS Mincho" w:hAnsi="Cambria Math" w:cs="Cambria Math"/>
          <w:bCs/>
          <w:iCs/>
          <w:sz w:val="20"/>
          <w:szCs w:val="20"/>
          <w:lang w:bidi="ar-SA"/>
        </w:rPr>
        <w:instrText>∼</w:instrText>
      </w:r>
      <w:r w:rsidRPr="00606C54">
        <w:rPr>
          <w:rFonts w:ascii="Times New Roman" w:eastAsia="MS Mincho" w:hAnsi="Times New Roman"/>
          <w:bCs/>
          <w:iCs/>
          <w:sz w:val="20"/>
          <w:szCs w:val="20"/>
          <w:lang w:bidi="ar-SA"/>
        </w:rPr>
        <w:instrText xml:space="preserve"> 4, biosorption of negativelycharged chromium species (Cr 2O7-2) followed the pattern of positively-charged metal ions (Pb2+, Cd2+, Mn 2+, and Cu2+). This suggests that the most prevalent chromium species were positively-charged Cr3+, reduced from Cr 6+ in Cr2O7-2. Whereas positively-charged heavy metal ions (Pb2+, Cd2+, Mn 2+, and Cu2+) reached a plateau after the maximum level, biosorption of chromium ions decreased noticeably between pH 5 and 8. Kinetic data showed that biosorption by brown seaweed occurred rapidly during the first 10 min, and most of the heavy metals were bound to the seaweed within 30 min. Equilibrium adsorption data for a lead ion could fit well in the Langmuir and Freundlich isotherm models with regression coefficients (R2) between 0.93 and 0.98. © The Korean Society for Biotechnology and Bioengineering and Springer 2012.","author":[{"dropping-particle":"","family":"Lee","given":"Seung Hoon","non-dropping-particle":"","parse-names":false,"suffix":""},{"dropping-particle":"","family":"Park","given":"Chang Ho","non-dropping-particle":"","parse-names":false,"suffix":""}],"container-title":"Biotechnology and Bioprocess Engineering","id":"ITEM-1","issue":"4","issued":{"date-parts":[["2012"]]},"page":"853-861","title":"Biosorption of heavy metal ions by brown seaweeds from southern coast of Korea","type":"article-journal","volume":"17"},"uris":["http://www.mendeley.com/documents/?uuid=0fda944d-7fc2-4174-9038-2d2ad7cfe564"]}],"mendeley":{"formattedCitation":"(Lee &amp; Park, 2012)","manualFormatting":"(Lee &amp; Park, ","plainTextFormattedCitation":"(Lee &amp; Park, 2012)","previouslyFormattedCitation":"(Lee &amp; Park, 2012)"},"properties":{"noteIndex":0},"schema":"https://github.com/citation-style-language/schema/raw/master/csl-citation.json"}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bidi="ar-SA"/>
        </w:rPr>
        <w:t xml:space="preserve">Lee </w:t>
      </w:r>
      <w:r w:rsidRPr="00606C54">
        <w:rPr>
          <w:rFonts w:ascii="Times New Roman" w:eastAsia="MS Mincho" w:hAnsi="Times New Roman"/>
          <w:bCs/>
          <w:iCs/>
          <w:sz w:val="20"/>
          <w:szCs w:val="20"/>
          <w:lang w:val="en-MY" w:bidi="ar-SA"/>
        </w:rPr>
        <w:t>and</w:t>
      </w:r>
      <w:r w:rsidRPr="00606C54">
        <w:rPr>
          <w:rFonts w:ascii="Times New Roman" w:eastAsia="MS Mincho" w:hAnsi="Times New Roman"/>
          <w:bCs/>
          <w:iCs/>
          <w:sz w:val="20"/>
          <w:szCs w:val="20"/>
          <w:lang w:bidi="ar-SA"/>
        </w:rPr>
        <w:t xml:space="preserve"> Park,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[51] using brown seaweeds; </w:t>
      </w:r>
      <w:r w:rsidRPr="00606C54">
        <w:rPr>
          <w:rFonts w:ascii="Times New Roman" w:eastAsia="MS Mincho" w:hAnsi="Times New Roman"/>
          <w:bCs/>
          <w:iCs/>
          <w:sz w:val="20"/>
          <w:szCs w:val="20"/>
          <w:lang w:val="en-MY" w:bidi="ar-SA"/>
        </w:rPr>
        <w:t xml:space="preserve">and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ADDIN CSL_CITATION {"citationItems":[{"id":"ITEM-1","itemData":{"DOI":"10.1080/02757540.2011.607439","ISSN":"02757540","abstract":"The use of algae (Ulva fasciata, green and Sargassum sp., brown) to reduce lead and cadmium levels from mono-metal solutions was investigated. The brown algae showed higher efficiency for the accumulation of lead (~1.5 times) and cadmium (~2 times) than green algae. The optimum pH value is found to be between 4 and 5.5. Regarding biomass concentration, an increase in metals percentage removal and a decrease in metal uptake capacity coincided with the increase in biomass concentration. All light metals (Ca, Mg and Na) showed a suppressive effect on biosorption capacity. The enhancement of biosorption in the case of NaOH was obvious. The biosorption process (65-90%) occurred within 3 min. Experimental data were in high agreement with the pseudo-second-order kinetic model and Freundlich model for lead and cadmium biosorption using different biosorbents. In the desorption study, 0.2 mol·L -1 HCl recorded the best concentration for the elution of metals from the biomass. The biosorption capacity decreased over the four operational cycles for both lead and cadmium. Infrared analysis showed that amino, hydroxyl and carboxyl functional groups provide the major biosorption sites for metal binding. Use of the above-mentioned algae for cheap metal absorbance is considered as one water treatment criterion. © 2011 Copyright Taylor and Francis Group, LLC.","author":[{"dropping-particle":"","family":"Nessim","given":"Ramzy B.","non-dropping-particle":"","parse-names":false,"suffix":""},{"dropping-particle":"","family":"Bassiouny","given":"Ahmad R.","non-dropping-particle":"","parse-names":false,"suffix":""},{"dropping-particle":"","family":"Zaki","given":"Hermine R.","non-dropping-particle":"","parse-names":false,"suffix":""},{"dropping-particle":"","family":"Moawad","given":"Madelyn N.","non-dropping-particle":"","parse-names":false,"suffix":""},{"dropping-particle":"","family":"Kandeel","given":"Kamal M.","non-dropping-particle":"","parse-names":false,"suffix":""}],"container-title":"Chemistry and Ecology","id":"ITEM-1","issue":"6","issued":{"date-parts":[["2011"]]},"page":"579-594","title":"Biosorption of lead and cadmium using marine algae","type":"article-journal","volume":"27"},"uris":["http://www.mendeley.com/documents/?uuid=6e8b61c7-d37f-40fb-9965-f3f68c92fc0c"]}],"mendeley":{"formattedCitation":"(Nessim et al., 2011)","manualFormatting":"(Nessim et al., ","plainTextFormattedCitation":"(Nessim et al., 2011)","previouslyFormattedCitation":"(Nessim et al., 2011)"},"properties":{"noteIndex":0},"schema":"https://github.com/citation-style-language/schema/raw/master/csl-citation.json"}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bidi="ar-SA"/>
        </w:rPr>
        <w:t xml:space="preserve">Nessim et al.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 [52] using </w:t>
      </w:r>
      <w:r w:rsidRPr="00606C54">
        <w:rPr>
          <w:rFonts w:ascii="Times New Roman" w:eastAsia="MS Mincho" w:hAnsi="Times New Roman"/>
          <w:bCs/>
          <w:i/>
          <w:sz w:val="20"/>
          <w:szCs w:val="20"/>
          <w:lang w:bidi="ar-SA"/>
        </w:rPr>
        <w:t>Ulva fasciata</w:t>
      </w:r>
      <w:r w:rsidRPr="00606C54">
        <w:rPr>
          <w:rFonts w:ascii="Times New Roman" w:eastAsia="MS Mincho" w:hAnsi="Times New Roman"/>
          <w:bCs/>
          <w:iCs/>
          <w:sz w:val="20"/>
          <w:szCs w:val="20"/>
          <w:lang w:bidi="ar-SA"/>
        </w:rPr>
        <w:t xml:space="preserve">, green seaweed and </w:t>
      </w:r>
      <w:r w:rsidRPr="00606C54">
        <w:rPr>
          <w:rFonts w:ascii="Times New Roman" w:eastAsia="MS Mincho" w:hAnsi="Times New Roman"/>
          <w:bCs/>
          <w:i/>
          <w:sz w:val="20"/>
          <w:szCs w:val="20"/>
          <w:lang w:bidi="ar-SA"/>
        </w:rPr>
        <w:t>Sargassum sp</w:t>
      </w:r>
      <w:r w:rsidRPr="00606C54">
        <w:rPr>
          <w:rFonts w:ascii="Times New Roman" w:eastAsia="MS Mincho" w:hAnsi="Times New Roman"/>
          <w:bCs/>
          <w:iCs/>
          <w:sz w:val="20"/>
          <w:szCs w:val="20"/>
          <w:lang w:bidi="ar-SA"/>
        </w:rPr>
        <w:t>., brown seaweed.</w:t>
      </w:r>
    </w:p>
    <w:p w14:paraId="1097F45B" w14:textId="68C53A72" w:rsidR="000A01FC" w:rsidRDefault="000A01FC" w:rsidP="00606C54">
      <w:pPr>
        <w:tabs>
          <w:tab w:val="left" w:pos="2070"/>
        </w:tabs>
        <w:autoSpaceDE w:val="0"/>
        <w:autoSpaceDN w:val="0"/>
        <w:adjustRightInd w:val="0"/>
        <w:spacing w:after="0"/>
        <w:jc w:val="both"/>
        <w:rPr>
          <w:rFonts w:ascii="Times New Roman" w:eastAsia="MS Mincho" w:hAnsi="Times New Roman"/>
          <w:bCs/>
          <w:iCs/>
          <w:sz w:val="20"/>
          <w:szCs w:val="20"/>
          <w:lang w:bidi="ar-SA"/>
        </w:rPr>
        <w:sectPr w:rsidR="000A01FC" w:rsidSect="002C60A1">
          <w:footerReference w:type="even" r:id="rId18"/>
          <w:type w:val="evenPage"/>
          <w:pgSz w:w="12240" w:h="15840" w:code="1"/>
          <w:pgMar w:top="1800" w:right="1469" w:bottom="1699" w:left="1440" w:header="706" w:footer="706" w:gutter="0"/>
          <w:pgNumType w:start="1"/>
          <w:cols w:num="2" w:space="403"/>
          <w:docGrid w:linePitch="360"/>
        </w:sectPr>
      </w:pPr>
    </w:p>
    <w:p w14:paraId="0126494D" w14:textId="1710DF6A" w:rsidR="000A01FC" w:rsidRDefault="000A01FC" w:rsidP="000A01FC">
      <w:pPr>
        <w:spacing w:after="0"/>
        <w:rPr>
          <w:rFonts w:ascii="Times New Roman" w:hAnsi="Times New Roman" w:cs="Arial"/>
          <w:bCs/>
          <w:sz w:val="20"/>
          <w:szCs w:val="20"/>
          <w:lang w:bidi="ar-SA"/>
        </w:rPr>
      </w:pPr>
    </w:p>
    <w:p w14:paraId="7D57A678" w14:textId="77777777" w:rsidR="00A70344" w:rsidRDefault="00A70344" w:rsidP="000A01FC">
      <w:pPr>
        <w:spacing w:after="0"/>
        <w:rPr>
          <w:rFonts w:ascii="Times New Roman" w:hAnsi="Times New Roman" w:cs="Arial"/>
          <w:bCs/>
          <w:sz w:val="20"/>
          <w:szCs w:val="20"/>
          <w:lang w:bidi="ar-SA"/>
        </w:rPr>
      </w:pPr>
    </w:p>
    <w:p w14:paraId="34D6B82F" w14:textId="77777777" w:rsidR="000A01FC" w:rsidRPr="000A01FC" w:rsidRDefault="000A01FC" w:rsidP="000A01FC">
      <w:pPr>
        <w:spacing w:after="120"/>
        <w:jc w:val="center"/>
        <w:rPr>
          <w:rFonts w:ascii="Times New Roman" w:hAnsi="Times New Roman" w:cs="Arial"/>
          <w:bCs/>
          <w:sz w:val="20"/>
          <w:szCs w:val="20"/>
          <w:lang w:bidi="ar-SA"/>
        </w:rPr>
      </w:pPr>
      <w:r>
        <w:rPr>
          <w:rFonts w:ascii="Times New Roman" w:hAnsi="Times New Roman"/>
          <w:noProof/>
          <w:sz w:val="20"/>
          <w:szCs w:val="20"/>
        </w:rPr>
        <w:drawing>
          <wp:inline distT="0" distB="0" distL="0" distR="0" wp14:anchorId="2F2080A6" wp14:editId="59E5DD3B">
            <wp:extent cx="3368040" cy="2400300"/>
            <wp:effectExtent l="0" t="0" r="3810" b="0"/>
            <wp:docPr id="88"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Start w:id="25" w:name="_Toc364110500"/>
      <w:bookmarkStart w:id="26" w:name="_Toc365535261"/>
      <w:bookmarkStart w:id="27" w:name="_Toc364107194"/>
      <w:bookmarkStart w:id="28" w:name="_Toc364109749"/>
    </w:p>
    <w:p w14:paraId="2C64B92B" w14:textId="77777777" w:rsidR="000A01FC" w:rsidRDefault="000A01FC" w:rsidP="000A01FC">
      <w:pPr>
        <w:keepNext/>
        <w:keepLines/>
        <w:tabs>
          <w:tab w:val="left" w:pos="1350"/>
        </w:tabs>
        <w:spacing w:after="0"/>
        <w:jc w:val="center"/>
        <w:outlineLvl w:val="1"/>
        <w:rPr>
          <w:rFonts w:ascii="Times New Roman" w:eastAsia="Calibri" w:hAnsi="Times New Roman"/>
          <w:sz w:val="20"/>
          <w:szCs w:val="20"/>
          <w:lang w:eastAsia="ja-JP" w:bidi="ar-SA"/>
        </w:rPr>
      </w:pPr>
      <w:r w:rsidRPr="00B50822">
        <w:rPr>
          <w:rFonts w:ascii="Times New Roman" w:eastAsia="Calibri" w:hAnsi="Times New Roman"/>
          <w:iCs/>
          <w:sz w:val="20"/>
          <w:szCs w:val="20"/>
          <w:lang w:eastAsia="ja-JP" w:bidi="ar-SA"/>
        </w:rPr>
        <w:t xml:space="preserve">Figure 3. </w:t>
      </w:r>
      <w:r>
        <w:rPr>
          <w:rFonts w:ascii="Times New Roman" w:eastAsia="Calibri" w:hAnsi="Times New Roman"/>
          <w:iCs/>
          <w:sz w:val="20"/>
          <w:szCs w:val="20"/>
          <w:lang w:eastAsia="ja-JP" w:bidi="ar-SA"/>
        </w:rPr>
        <w:t xml:space="preserve"> </w:t>
      </w:r>
      <w:r w:rsidRPr="00B50822">
        <w:rPr>
          <w:rFonts w:ascii="Times New Roman" w:eastAsia="Calibri" w:hAnsi="Times New Roman"/>
          <w:sz w:val="20"/>
          <w:szCs w:val="20"/>
          <w:lang w:eastAsia="ja-JP" w:bidi="ar-SA"/>
        </w:rPr>
        <w:t xml:space="preserve">Variation of Pb(II) uptake of </w:t>
      </w:r>
      <w:r w:rsidRPr="00B50822">
        <w:rPr>
          <w:rFonts w:ascii="Times New Roman" w:eastAsia="Calibri" w:hAnsi="Times New Roman"/>
          <w:i/>
          <w:sz w:val="20"/>
          <w:szCs w:val="20"/>
          <w:lang w:eastAsia="ja-JP" w:bidi="ar-SA"/>
        </w:rPr>
        <w:t xml:space="preserve">E. denticulatum </w:t>
      </w:r>
      <w:r w:rsidRPr="00B50822">
        <w:rPr>
          <w:rFonts w:ascii="Times New Roman" w:eastAsia="Calibri" w:hAnsi="Times New Roman"/>
          <w:sz w:val="20"/>
          <w:szCs w:val="20"/>
          <w:lang w:eastAsia="ja-JP" w:bidi="ar-SA"/>
        </w:rPr>
        <w:t>with pH</w:t>
      </w:r>
      <w:bookmarkEnd w:id="25"/>
      <w:bookmarkEnd w:id="26"/>
      <w:bookmarkEnd w:id="27"/>
      <w:bookmarkEnd w:id="28"/>
    </w:p>
    <w:p w14:paraId="24A8A349" w14:textId="77777777" w:rsidR="000A01FC" w:rsidRDefault="000A01FC"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5AC5B9CA" w14:textId="77777777" w:rsidR="000A01FC" w:rsidRDefault="000A01FC"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30860EFE" w14:textId="77777777" w:rsidR="000A01FC" w:rsidRDefault="000A01FC" w:rsidP="000A01FC">
      <w:pPr>
        <w:keepNext/>
        <w:keepLines/>
        <w:tabs>
          <w:tab w:val="left" w:pos="1350"/>
        </w:tabs>
        <w:spacing w:after="0"/>
        <w:jc w:val="both"/>
        <w:outlineLvl w:val="1"/>
        <w:rPr>
          <w:rFonts w:ascii="Times New Roman" w:eastAsia="Calibri" w:hAnsi="Times New Roman"/>
          <w:b/>
          <w:iCs/>
          <w:sz w:val="20"/>
          <w:szCs w:val="20"/>
          <w:lang w:eastAsia="ja-JP" w:bidi="ar-SA"/>
        </w:rPr>
        <w:sectPr w:rsidR="000A01FC" w:rsidSect="000A01FC">
          <w:type w:val="continuous"/>
          <w:pgSz w:w="12240" w:h="15840" w:code="1"/>
          <w:pgMar w:top="1800" w:right="1469" w:bottom="1699" w:left="1440" w:header="706" w:footer="706" w:gutter="0"/>
          <w:pgNumType w:start="1"/>
          <w:cols w:space="403"/>
          <w:docGrid w:linePitch="360"/>
        </w:sectPr>
      </w:pPr>
      <w:bookmarkStart w:id="29" w:name="_Toc362167010"/>
      <w:bookmarkStart w:id="30" w:name="_Toc361714580"/>
      <w:bookmarkStart w:id="31" w:name="_Toc365535264"/>
    </w:p>
    <w:p w14:paraId="22C80666" w14:textId="77777777" w:rsidR="00606C54" w:rsidRPr="00606C54" w:rsidRDefault="00606C54" w:rsidP="000A01FC">
      <w:pPr>
        <w:keepNext/>
        <w:keepLines/>
        <w:tabs>
          <w:tab w:val="left" w:pos="1350"/>
        </w:tabs>
        <w:spacing w:after="0"/>
        <w:jc w:val="both"/>
        <w:outlineLvl w:val="1"/>
        <w:rPr>
          <w:rFonts w:ascii="Times New Roman" w:eastAsia="Calibri" w:hAnsi="Times New Roman"/>
          <w:b/>
          <w:bCs/>
          <w:iCs/>
          <w:sz w:val="20"/>
          <w:szCs w:val="20"/>
          <w:lang w:eastAsia="ja-JP" w:bidi="ar-SA"/>
        </w:rPr>
      </w:pPr>
      <w:r w:rsidRPr="00606C54">
        <w:rPr>
          <w:rFonts w:ascii="Times New Roman" w:eastAsia="Calibri" w:hAnsi="Times New Roman"/>
          <w:b/>
          <w:iCs/>
          <w:sz w:val="20"/>
          <w:szCs w:val="20"/>
          <w:lang w:eastAsia="ja-JP" w:bidi="ar-SA"/>
        </w:rPr>
        <w:t xml:space="preserve">Optimum contact time for Pb(II) biosorption </w:t>
      </w:r>
      <w:bookmarkEnd w:id="29"/>
      <w:bookmarkEnd w:id="30"/>
      <w:bookmarkEnd w:id="31"/>
    </w:p>
    <w:p w14:paraId="6EAA2A9A" w14:textId="77777777"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r w:rsidRPr="00606C54">
        <w:rPr>
          <w:rFonts w:ascii="Times New Roman" w:eastAsia="MS Mincho" w:hAnsi="Times New Roman"/>
          <w:bCs/>
          <w:iCs/>
          <w:sz w:val="20"/>
          <w:szCs w:val="20"/>
          <w:lang w:bidi="ar-SA"/>
        </w:rPr>
        <w:t xml:space="preserve">The metal ions biosorption in aqueous solutions is highly influenced by contact time, as shown in Figure 4. The results </w:t>
      </w:r>
      <w:r w:rsidRPr="00606C54">
        <w:rPr>
          <w:rFonts w:ascii="Times New Roman" w:eastAsia="MS Mincho" w:hAnsi="Times New Roman"/>
          <w:bCs/>
          <w:iCs/>
          <w:sz w:val="20"/>
          <w:szCs w:val="20"/>
          <w:lang w:val="en-MY" w:bidi="ar-SA"/>
        </w:rPr>
        <w:t>from</w:t>
      </w:r>
      <w:r w:rsidRPr="00606C54">
        <w:rPr>
          <w:rFonts w:ascii="Times New Roman" w:eastAsia="MS Mincho" w:hAnsi="Times New Roman"/>
          <w:bCs/>
          <w:iCs/>
          <w:sz w:val="20"/>
          <w:szCs w:val="20"/>
          <w:lang w:bidi="ar-SA"/>
        </w:rPr>
        <w:t xml:space="preserve"> this research study demonstrated that Pb(II) uptake onto </w:t>
      </w:r>
      <w:r w:rsidRPr="00606C54">
        <w:rPr>
          <w:rFonts w:ascii="Times New Roman" w:eastAsia="MS Mincho" w:hAnsi="Times New Roman"/>
          <w:bCs/>
          <w:i/>
          <w:iCs/>
          <w:sz w:val="20"/>
          <w:szCs w:val="20"/>
          <w:lang w:bidi="ar-SA"/>
        </w:rPr>
        <w:t>E. denticulatum</w:t>
      </w:r>
      <w:r w:rsidRPr="00606C54">
        <w:rPr>
          <w:rFonts w:ascii="Times New Roman" w:eastAsia="MS Mincho" w:hAnsi="Times New Roman"/>
          <w:bCs/>
          <w:iCs/>
          <w:sz w:val="20"/>
          <w:szCs w:val="20"/>
          <w:lang w:bidi="ar-SA"/>
        </w:rPr>
        <w:t xml:space="preserve"> increased with longer contact time</w:t>
      </w:r>
      <w:r w:rsidRPr="00606C54">
        <w:rPr>
          <w:rFonts w:ascii="Times New Roman" w:eastAsia="MS Mincho" w:hAnsi="Times New Roman"/>
          <w:bCs/>
          <w:iCs/>
          <w:sz w:val="20"/>
          <w:szCs w:val="20"/>
          <w:lang w:val="en-MY" w:bidi="ar-SA"/>
        </w:rPr>
        <w:t>s</w:t>
      </w:r>
      <w:r w:rsidRPr="00606C54">
        <w:rPr>
          <w:rFonts w:ascii="Times New Roman" w:eastAsia="MS Mincho" w:hAnsi="Times New Roman"/>
          <w:bCs/>
          <w:iCs/>
          <w:sz w:val="20"/>
          <w:szCs w:val="20"/>
          <w:lang w:bidi="ar-SA"/>
        </w:rPr>
        <w:t xml:space="preserve">. Initially, during the first 20 minutes, there was a rapid Pb (II) uptake and </w:t>
      </w:r>
      <w:r w:rsidRPr="00606C54">
        <w:rPr>
          <w:rFonts w:ascii="Times New Roman" w:eastAsia="MS Mincho" w:hAnsi="Times New Roman"/>
          <w:bCs/>
          <w:iCs/>
          <w:sz w:val="20"/>
          <w:szCs w:val="20"/>
          <w:lang w:val="en-MY" w:bidi="ar-SA"/>
        </w:rPr>
        <w:t xml:space="preserve">a </w:t>
      </w:r>
      <w:r w:rsidRPr="00606C54">
        <w:rPr>
          <w:rFonts w:ascii="Times New Roman" w:eastAsia="MS Mincho" w:hAnsi="Times New Roman"/>
          <w:bCs/>
          <w:iCs/>
          <w:sz w:val="20"/>
          <w:szCs w:val="20"/>
          <w:lang w:bidi="ar-SA"/>
        </w:rPr>
        <w:t xml:space="preserve">gradual increase until equilibrium at 120 minutes. </w:t>
      </w:r>
      <w:r w:rsidRPr="00606C54">
        <w:rPr>
          <w:rFonts w:ascii="Times New Roman" w:eastAsia="MS Mincho" w:hAnsi="Times New Roman"/>
          <w:bCs/>
          <w:iCs/>
          <w:sz w:val="20"/>
          <w:szCs w:val="20"/>
          <w:lang w:val="en-MY" w:bidi="ar-SA"/>
        </w:rPr>
        <w:t>Meanwhile,</w:t>
      </w:r>
      <w:r w:rsidRPr="00606C54">
        <w:rPr>
          <w:rFonts w:ascii="Times New Roman" w:eastAsia="MS Mincho" w:hAnsi="Times New Roman"/>
          <w:bCs/>
          <w:iCs/>
          <w:sz w:val="20"/>
          <w:szCs w:val="20"/>
          <w:lang w:bidi="ar-SA"/>
        </w:rPr>
        <w:t xml:space="preserve"> no further changes in biosorption were noticed beyond 120 minutes. Thus</w:t>
      </w:r>
      <w:r w:rsidRPr="00606C54">
        <w:rPr>
          <w:rFonts w:ascii="Times New Roman" w:eastAsia="MS Mincho" w:hAnsi="Times New Roman"/>
          <w:bCs/>
          <w:iCs/>
          <w:sz w:val="20"/>
          <w:szCs w:val="20"/>
          <w:lang w:val="en-MY" w:bidi="ar-SA"/>
        </w:rPr>
        <w:t>,</w:t>
      </w:r>
      <w:r w:rsidRPr="00606C54">
        <w:rPr>
          <w:rFonts w:ascii="Times New Roman" w:eastAsia="MS Mincho" w:hAnsi="Times New Roman"/>
          <w:bCs/>
          <w:iCs/>
          <w:sz w:val="20"/>
          <w:szCs w:val="20"/>
          <w:lang w:bidi="ar-SA"/>
        </w:rPr>
        <w:t xml:space="preserve"> 120 minutes </w:t>
      </w:r>
      <w:r w:rsidRPr="00606C54">
        <w:rPr>
          <w:rFonts w:ascii="Times New Roman" w:eastAsia="MS Mincho" w:hAnsi="Times New Roman"/>
          <w:bCs/>
          <w:iCs/>
          <w:sz w:val="20"/>
          <w:szCs w:val="20"/>
          <w:lang w:val="en-MY" w:bidi="ar-SA"/>
        </w:rPr>
        <w:t xml:space="preserve">can be </w:t>
      </w:r>
      <w:r w:rsidRPr="00606C54">
        <w:rPr>
          <w:rFonts w:ascii="Times New Roman" w:eastAsia="MS Mincho" w:hAnsi="Times New Roman"/>
          <w:bCs/>
          <w:iCs/>
          <w:sz w:val="20"/>
          <w:szCs w:val="20"/>
          <w:lang w:bidi="ar-SA"/>
        </w:rPr>
        <w:t>consider</w:t>
      </w:r>
      <w:r w:rsidRPr="00606C54">
        <w:rPr>
          <w:rFonts w:ascii="Times New Roman" w:eastAsia="MS Mincho" w:hAnsi="Times New Roman"/>
          <w:bCs/>
          <w:iCs/>
          <w:sz w:val="20"/>
          <w:szCs w:val="20"/>
          <w:lang w:val="en-MY" w:bidi="ar-SA"/>
        </w:rPr>
        <w:t>ed</w:t>
      </w:r>
      <w:r w:rsidRPr="00606C54">
        <w:rPr>
          <w:rFonts w:ascii="Times New Roman" w:eastAsia="MS Mincho" w:hAnsi="Times New Roman"/>
          <w:bCs/>
          <w:iCs/>
          <w:sz w:val="20"/>
          <w:szCs w:val="20"/>
          <w:lang w:bidi="ar-SA"/>
        </w:rPr>
        <w:t xml:space="preserve"> the ideal contact time </w:t>
      </w:r>
      <w:r w:rsidRPr="00606C54">
        <w:rPr>
          <w:rFonts w:ascii="Times New Roman" w:eastAsia="MS Mincho" w:hAnsi="Times New Roman"/>
          <w:bCs/>
          <w:iCs/>
          <w:sz w:val="20"/>
          <w:szCs w:val="20"/>
          <w:lang w:val="en-MY" w:bidi="ar-SA"/>
        </w:rPr>
        <w:t xml:space="preserve">in </w:t>
      </w:r>
      <w:r w:rsidRPr="00606C54">
        <w:rPr>
          <w:rFonts w:ascii="Times New Roman" w:eastAsia="MS Mincho" w:hAnsi="Times New Roman"/>
          <w:bCs/>
          <w:iCs/>
          <w:sz w:val="20"/>
          <w:szCs w:val="20"/>
          <w:lang w:bidi="ar-SA"/>
        </w:rPr>
        <w:t>other biosorption experiments</w:t>
      </w:r>
      <w:r w:rsidRPr="00606C54">
        <w:rPr>
          <w:rFonts w:ascii="Times New Roman" w:eastAsia="MS Mincho" w:hAnsi="Times New Roman"/>
          <w:bCs/>
          <w:sz w:val="20"/>
          <w:szCs w:val="20"/>
          <w:lang w:bidi="ar-SA"/>
        </w:rPr>
        <w:t>.</w:t>
      </w:r>
      <w:r w:rsidRPr="00606C54">
        <w:rPr>
          <w:rFonts w:ascii="Times New Roman" w:eastAsia="MS Mincho" w:hAnsi="Times New Roman"/>
          <w:bCs/>
          <w:iCs/>
          <w:sz w:val="20"/>
          <w:szCs w:val="20"/>
          <w:lang w:bidi="ar-SA"/>
        </w:rPr>
        <w:t xml:space="preserve"> </w:t>
      </w:r>
    </w:p>
    <w:p w14:paraId="113154F4" w14:textId="77777777"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2C94C39F" w14:textId="77777777"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r w:rsidRPr="00606C54">
        <w:rPr>
          <w:rFonts w:ascii="Times New Roman" w:eastAsia="MS Mincho" w:hAnsi="Times New Roman"/>
          <w:bCs/>
          <w:iCs/>
          <w:sz w:val="20"/>
          <w:szCs w:val="20"/>
          <w:lang w:bidi="ar-SA"/>
        </w:rPr>
        <w:t xml:space="preserve">The sharp increase in biosorption during the early stage was likely due to the high solute concentration gradient [53] and the availability of vacant active sites on the biomass surface. Thus,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adsorption of metal ions took </w:t>
      </w:r>
      <w:r w:rsidRPr="00606C54">
        <w:rPr>
          <w:rFonts w:ascii="Times New Roman" w:eastAsia="MS Mincho" w:hAnsi="Times New Roman"/>
          <w:bCs/>
          <w:iCs/>
          <w:sz w:val="20"/>
          <w:szCs w:val="20"/>
          <w:lang w:bidi="ar-SA"/>
        </w:rPr>
        <w:t xml:space="preserve">place on these sites [54, 55]. In the subsequent stages, the metal removal declined because the active sites </w:t>
      </w:r>
      <w:r w:rsidRPr="00606C54">
        <w:rPr>
          <w:rFonts w:ascii="Times New Roman" w:eastAsia="MS Mincho" w:hAnsi="Times New Roman"/>
          <w:bCs/>
          <w:iCs/>
          <w:sz w:val="20"/>
          <w:szCs w:val="20"/>
          <w:lang w:val="en-MY" w:bidi="ar-SA"/>
        </w:rPr>
        <w:t xml:space="preserve">were </w:t>
      </w:r>
      <w:r w:rsidRPr="00606C54">
        <w:rPr>
          <w:rFonts w:ascii="Times New Roman" w:eastAsia="MS Mincho" w:hAnsi="Times New Roman"/>
          <w:bCs/>
          <w:iCs/>
          <w:sz w:val="20"/>
          <w:szCs w:val="20"/>
          <w:lang w:bidi="ar-SA"/>
        </w:rPr>
        <w:t xml:space="preserve">gradually occupied [56] and </w:t>
      </w:r>
      <w:r w:rsidRPr="00606C54">
        <w:rPr>
          <w:rFonts w:ascii="Times New Roman" w:eastAsia="MS Mincho" w:hAnsi="Times New Roman"/>
          <w:bCs/>
          <w:iCs/>
          <w:sz w:val="20"/>
          <w:szCs w:val="20"/>
          <w:lang w:val="en-MY" w:bidi="ar-SA"/>
        </w:rPr>
        <w:t xml:space="preserve">there was </w:t>
      </w:r>
      <w:r w:rsidRPr="00606C54">
        <w:rPr>
          <w:rFonts w:ascii="Times New Roman" w:eastAsia="MS Mincho" w:hAnsi="Times New Roman"/>
          <w:bCs/>
          <w:iCs/>
          <w:sz w:val="20"/>
          <w:szCs w:val="20"/>
          <w:lang w:bidi="ar-SA"/>
        </w:rPr>
        <w:t xml:space="preserve">difficulty occupying the residual binding spots due to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forces between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solid and bulk phases [57, 58].</w:t>
      </w:r>
    </w:p>
    <w:p w14:paraId="62218054" w14:textId="77777777" w:rsidR="00606C54" w:rsidRP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44159826" w14:textId="78756356" w:rsidR="005A3A67" w:rsidRPr="0012339D" w:rsidRDefault="00606C54" w:rsidP="0012339D">
      <w:pPr>
        <w:tabs>
          <w:tab w:val="left" w:pos="2070"/>
        </w:tabs>
        <w:autoSpaceDE w:val="0"/>
        <w:autoSpaceDN w:val="0"/>
        <w:adjustRightInd w:val="0"/>
        <w:spacing w:after="0"/>
        <w:jc w:val="both"/>
        <w:rPr>
          <w:rFonts w:ascii="Times New Roman" w:eastAsia="MS Mincho" w:hAnsi="Times New Roman"/>
          <w:bCs/>
          <w:iCs/>
          <w:sz w:val="20"/>
          <w:szCs w:val="20"/>
          <w:lang w:bidi="ar-SA"/>
        </w:rPr>
        <w:sectPr w:rsidR="005A3A67" w:rsidRPr="0012339D" w:rsidSect="000A01FC">
          <w:type w:val="continuous"/>
          <w:pgSz w:w="12240" w:h="15840" w:code="1"/>
          <w:pgMar w:top="1800" w:right="1469" w:bottom="1699" w:left="1440" w:header="706" w:footer="706" w:gutter="0"/>
          <w:pgNumType w:start="1"/>
          <w:cols w:num="2" w:space="403"/>
          <w:docGrid w:linePitch="360"/>
        </w:sectPr>
      </w:pPr>
      <w:r w:rsidRPr="00606C54">
        <w:rPr>
          <w:rFonts w:ascii="Times New Roman" w:eastAsia="MS Mincho" w:hAnsi="Times New Roman"/>
          <w:bCs/>
          <w:iCs/>
          <w:sz w:val="20"/>
          <w:szCs w:val="20"/>
          <w:lang w:bidi="ar-SA"/>
        </w:rPr>
        <w:t xml:space="preserve">Several biosorption studies have demonstrated that metal ions adsorption employing algal biomass attained maximum adsorption in the interval between 60 </w:t>
      </w:r>
      <w:r w:rsidRPr="00606C54">
        <w:rPr>
          <w:rFonts w:ascii="Times New Roman" w:eastAsia="MS Mincho" w:hAnsi="Times New Roman"/>
          <w:bCs/>
          <w:iCs/>
          <w:sz w:val="20"/>
          <w:szCs w:val="20"/>
          <w:lang w:val="en-MY" w:bidi="ar-SA"/>
        </w:rPr>
        <w:t>and</w:t>
      </w:r>
      <w:r w:rsidRPr="00606C54">
        <w:rPr>
          <w:rFonts w:ascii="Times New Roman" w:eastAsia="MS Mincho" w:hAnsi="Times New Roman"/>
          <w:bCs/>
          <w:iCs/>
          <w:sz w:val="20"/>
          <w:szCs w:val="20"/>
          <w:lang w:bidi="ar-SA"/>
        </w:rPr>
        <w:t xml:space="preserve"> 120 min. These include </w:t>
      </w:r>
      <w:r w:rsidRPr="00606C54">
        <w:rPr>
          <w:rFonts w:ascii="Times New Roman" w:eastAsia="MS Mincho" w:hAnsi="Times New Roman"/>
          <w:bCs/>
          <w:iCs/>
          <w:sz w:val="20"/>
          <w:szCs w:val="20"/>
          <w:lang w:val="en-MY" w:bidi="ar-SA"/>
        </w:rPr>
        <w:t xml:space="preserve">the works of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ADDIN CSL_CITATION {"citationItems":[{"id":"ITEM-1","itemData":{"DOI":"10.1016/j.jhazmat.2011.07.019","ISSN":"03043894","PMID":"21798665","abstract":"Biosorption is an effective process for the removal and recovery of heavy metal ions from aqueous solutions. The biomass of marine algae has been reported to have high biosorption capacities for a number of heavy metal ions. In this study, four species of red seaweeds Corallina mediterranea, Galaxaura oblongata, Jania rubens and Pterocladia capillacea were examined to remove Co(II), Cd(II), Cr(III) and Pb(II) ions from aqueous solution. The experimental parameters that affect the biosorption process such as pH, contact time and biomass dosage were studied. The maximum biosorption capacity of metal ions was 105.2. mg/g at biomass dosage 10. g/L, pH 5 and contact time 60. min. The biosorption efficiency of algal biomass for the removal of heavy metal ions from industrial wastewater was evaluated for two successive cycles. Galaxaura oblongata biomass was relatively more efficient to remove metal ions with mean biosorption efficiency of 84%. This study demonstrated that these seaweeds constitute a promising, efficient, cheap and biodegradable sorbent biomaterial for lowering the heavy metal pollution in the environment. © 2011 Elsevier B.V.","author":[{"dropping-particle":"","family":"Ibrahim","given":"Wael M.","non-dropping-particle":"","parse-names":false,"suffix":""}],"container-title":"Journal of Hazardous Materials","id":"ITEM-1","issue":"3","issued":{"date-parts":[["2011"]]},"page":"1827-1835","publisher":"Elsevier B.V.","title":"Biosorption of heavy metal ions from aqueous solution by red macroalgae","type":"article-journal","volume":"192"},"uris":["http://www.mendeley.com/documents/?uuid=55a6afec-78c2-4dc0-84b6-af6ec5d6b715"]}],"mendeley":{"formattedCitation":"(Ibrahim, 2011)","manualFormatting":"(Ibrahim, ","plainTextFormattedCitation":"(Ibrahim, 2011)","previouslyFormattedCitation":"(Ibrahim, 2011)"},"properties":{"noteIndex":0},"schema":"https://github.com/citation-style-language/schema/raw/master/csl-citation.json"}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bidi="ar-SA"/>
        </w:rPr>
        <w:t xml:space="preserve">Ibrahim,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[59] using </w:t>
      </w:r>
      <w:r w:rsidRPr="00606C54">
        <w:rPr>
          <w:rFonts w:ascii="Times New Roman" w:eastAsia="MS Mincho" w:hAnsi="Times New Roman"/>
          <w:bCs/>
          <w:i/>
          <w:sz w:val="20"/>
          <w:szCs w:val="20"/>
          <w:lang w:bidi="ar-SA"/>
        </w:rPr>
        <w:t xml:space="preserve">Corallina mediterranea, Galaxaura oblongata, Jania rubens, </w:t>
      </w:r>
      <w:r w:rsidRPr="00606C54">
        <w:rPr>
          <w:rFonts w:ascii="Times New Roman" w:eastAsia="MS Mincho" w:hAnsi="Times New Roman"/>
          <w:bCs/>
          <w:iCs/>
          <w:sz w:val="20"/>
          <w:szCs w:val="20"/>
          <w:lang w:bidi="ar-SA"/>
        </w:rPr>
        <w:t xml:space="preserve">and </w:t>
      </w:r>
      <w:r w:rsidRPr="00606C54">
        <w:rPr>
          <w:rFonts w:ascii="Times New Roman" w:eastAsia="MS Mincho" w:hAnsi="Times New Roman"/>
          <w:bCs/>
          <w:i/>
          <w:sz w:val="20"/>
          <w:szCs w:val="20"/>
          <w:lang w:bidi="ar-SA"/>
        </w:rPr>
        <w:t>Pterocladia capillacea</w:t>
      </w:r>
      <w:r w:rsidRPr="00606C54">
        <w:rPr>
          <w:rFonts w:ascii="Times New Roman" w:eastAsia="MS Mincho" w:hAnsi="Times New Roman"/>
          <w:bCs/>
          <w:iCs/>
          <w:sz w:val="20"/>
          <w:szCs w:val="20"/>
          <w:lang w:bidi="ar-SA"/>
        </w:rPr>
        <w:t xml:space="preserve"> (red macroalgae);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ADDIN CSL_CITATION {"citationItems":[{"id":"ITEM-1","itemData":{"author":[{"dropping-particle":"","family":"Ozudogru","given":"Yeliz","non-dropping-particle":"","parse-names":false,"suffix":""}],"id":"ITEM-1","issue":"April","issued":{"date-parts":[["2017"]]},"title":"pavonica BIOSORPTION OF Cu ( II ) AND Pb ( II ) IONS BY USING MARINE BROWN ALGAE Padina pavonica","type":"article-journal"},"uris":["http://www.mendeley.com/documents/?uuid=24d64df4-15c7-406b-a2c2-a8ac218b695e"]}],"mendeley":{"formattedCitation":"(Ozudogru, 2017)","manualFormatting":"(Ozudogru, ","plainTextFormattedCitation":"(Ozudogru, 2017)","previouslyFormattedCitation":"(Ozudogru, 2017)"},"properties":{"noteIndex":0},"schema":"https://github.com/citation-style-language/schema/raw/master/csl-citation.json"}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bidi="ar-SA"/>
        </w:rPr>
        <w:t xml:space="preserve">Ozudogru,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[60] using </w:t>
      </w:r>
      <w:r w:rsidRPr="00606C54">
        <w:rPr>
          <w:rFonts w:ascii="Times New Roman" w:eastAsia="MS Mincho" w:hAnsi="Times New Roman"/>
          <w:bCs/>
          <w:i/>
          <w:sz w:val="20"/>
          <w:szCs w:val="20"/>
          <w:lang w:bidi="ar-SA"/>
        </w:rPr>
        <w:t xml:space="preserve">Padina pavonica </w:t>
      </w:r>
      <w:r w:rsidRPr="00606C54">
        <w:rPr>
          <w:rFonts w:ascii="Times New Roman" w:eastAsia="MS Mincho" w:hAnsi="Times New Roman"/>
          <w:bCs/>
          <w:iCs/>
          <w:sz w:val="20"/>
          <w:szCs w:val="20"/>
          <w:lang w:bidi="ar-SA"/>
        </w:rPr>
        <w:t xml:space="preserve">(brown algae); </w:t>
      </w:r>
      <w:r w:rsidRPr="00606C54">
        <w:rPr>
          <w:rFonts w:ascii="Times New Roman" w:eastAsia="MS Mincho" w:hAnsi="Times New Roman"/>
          <w:bCs/>
          <w:iCs/>
          <w:sz w:val="20"/>
          <w:szCs w:val="20"/>
          <w:lang w:bidi="ar-SA"/>
        </w:rPr>
        <w:fldChar w:fldCharType="begin" w:fldLock="1"/>
      </w:r>
      <w:r w:rsidRPr="00606C54">
        <w:rPr>
          <w:rFonts w:ascii="Times New Roman" w:eastAsia="MS Mincho" w:hAnsi="Times New Roman"/>
          <w:bCs/>
          <w:iCs/>
          <w:sz w:val="20"/>
          <w:szCs w:val="20"/>
          <w:lang w:bidi="ar-SA"/>
        </w:rPr>
        <w:instrText>ADDIN CSL_CITATION {"citationItems":[{"id":"ITEM-1","itemData":{"DOI":"10.1016/j.jare.2012.07.004","ISSN":"20901232","abstract":"The present work represents the biosorption of Cd(II) and Pb(II) from aqueous solution onto the biomass of the blue green alga Anabaena sphaerica as a function of pH, biosorbent dosage, contact time, and initial metal ion concentrations. Freundlich, Langmuir, and Dubinin-Radushkevich (D-R) models were applied to describe the biosorption isotherm of both metals by A. sphaerica biomass. The biosorption isotherms studies indicated that the biosorption of Cd(II) and Pb(II) follows the Langmuir and Freundlish models. The maximum biosorption capacities (qmax) were 111.1 and 121.95. mg/g, respectively, at the optimum conditions for each metal. From the D-R isotherm model, the mean free energy was calculated to be 11.7 and 14.3. kJ/mol indicating that the biosorption mechanism of Cd(II) and Pb(II) by A. sphaerica was chemisorption. The FTIR analysis for surface function group of algal biomass revealed the existence of amino, carboxyl, hydroxyl, and carbonyl groups, which are responsible for the biosorption of Cd(II) and Pb(II). The results suggested that the biomass of A. sphaerica is an extremely efficient biosorbent for the removal of Cd(II) and Pb(II) from aqueous solutions. © 2012.","author":[{"dropping-particle":"","family":"Abdel -Aty","given":"Azza M.","non-dropping-particle":"","parse-names":false,"suffix":""},{"dropping-particle":"","family":"Ammar","given":"Nabila S.","non-dropping-particle":"","parse-names":false,"suffix":""},{"dropping-particle":"","family":"Abdel Ghafar","given":"Hany H.","non-dropping-particle":"","parse-names":false,"suffix":""},{"dropping-particle":"","family":"Ali","given":"Rizka K.","non-dropping-particle":"","parse-names":false,"suffix":""}],"container-title":"Journal of Advanced Research","id":"ITEM-1","issue":"4","issued":{"date-parts":[["2013"]]},"page":"367-374","publisher":"Cairo University","title":"Biosorption of cadmium and lead from aqueous solution by fresh water alga Anabaena sphaerica biomass","type":"article-journal","volume":"4"},"uris":["http://www.mendeley.com/documents/?uuid=7e1ae874-a643-4773-a336-0b74017b8c26"]}],"mendeley":{"formattedCitation":"(Abdel -Aty et al., 2013)","manualFormatting":"(Abdel -Aty et al., ","plainTextFormattedCitation":"(Abdel -Aty et al., 2013)","previouslyFormattedCitation":"(Abdel -Aty et al., 2013)"},"properties":{"noteIndex":0},"schema":"https://github.com/citation-style-language/schema/raw/master/csl-citation.json"}</w:instrText>
      </w:r>
      <w:r w:rsidRPr="00606C54">
        <w:rPr>
          <w:rFonts w:ascii="Times New Roman" w:eastAsia="MS Mincho" w:hAnsi="Times New Roman"/>
          <w:bCs/>
          <w:iCs/>
          <w:sz w:val="20"/>
          <w:szCs w:val="20"/>
          <w:lang w:bidi="ar-SA"/>
        </w:rPr>
        <w:fldChar w:fldCharType="separate"/>
      </w:r>
      <w:r w:rsidRPr="00606C54">
        <w:rPr>
          <w:rFonts w:ascii="Times New Roman" w:eastAsia="MS Mincho" w:hAnsi="Times New Roman"/>
          <w:bCs/>
          <w:iCs/>
          <w:sz w:val="20"/>
          <w:szCs w:val="20"/>
          <w:lang w:val="en-MY" w:bidi="ar-SA"/>
        </w:rPr>
        <w:t xml:space="preserve">and </w:t>
      </w:r>
      <w:r w:rsidRPr="00606C54">
        <w:rPr>
          <w:rFonts w:ascii="Times New Roman" w:eastAsia="MS Mincho" w:hAnsi="Times New Roman"/>
          <w:bCs/>
          <w:iCs/>
          <w:sz w:val="20"/>
          <w:szCs w:val="20"/>
          <w:lang w:bidi="ar-SA"/>
        </w:rPr>
        <w:t xml:space="preserve">Abdel-Aty et al. </w:t>
      </w:r>
      <w:r w:rsidRPr="00606C54">
        <w:rPr>
          <w:rFonts w:ascii="Times New Roman" w:eastAsia="MS Mincho" w:hAnsi="Times New Roman"/>
          <w:bCs/>
          <w:iCs/>
          <w:sz w:val="20"/>
          <w:szCs w:val="20"/>
          <w:lang w:bidi="ar-SA"/>
        </w:rPr>
        <w:fldChar w:fldCharType="end"/>
      </w:r>
      <w:r w:rsidRPr="00606C54">
        <w:rPr>
          <w:rFonts w:ascii="Times New Roman" w:eastAsia="MS Mincho" w:hAnsi="Times New Roman"/>
          <w:bCs/>
          <w:iCs/>
          <w:sz w:val="20"/>
          <w:szCs w:val="20"/>
          <w:lang w:bidi="ar-SA"/>
        </w:rPr>
        <w:t xml:space="preserve">[18] using </w:t>
      </w:r>
      <w:r w:rsidRPr="00606C54">
        <w:rPr>
          <w:rFonts w:ascii="Times New Roman" w:eastAsia="MS Mincho" w:hAnsi="Times New Roman"/>
          <w:bCs/>
          <w:i/>
          <w:sz w:val="20"/>
          <w:szCs w:val="20"/>
          <w:lang w:bidi="ar-SA"/>
        </w:rPr>
        <w:t>Anabaena sphaerica</w:t>
      </w:r>
      <w:r w:rsidRPr="00606C54">
        <w:rPr>
          <w:rFonts w:ascii="Times New Roman" w:eastAsia="MS Mincho" w:hAnsi="Times New Roman"/>
          <w:bCs/>
          <w:iCs/>
          <w:sz w:val="20"/>
          <w:szCs w:val="20"/>
          <w:lang w:bidi="ar-SA"/>
        </w:rPr>
        <w:t xml:space="preserve"> (freshwater alga)</w:t>
      </w:r>
      <w:bookmarkStart w:id="32" w:name="_Toc361714581"/>
      <w:bookmarkStart w:id="33" w:name="_Toc365535268"/>
      <w:bookmarkStart w:id="34" w:name="_Toc362167011"/>
      <w:r w:rsidR="00C97688">
        <w:rPr>
          <w:rFonts w:ascii="Times New Roman" w:eastAsia="MS Mincho" w:hAnsi="Times New Roman"/>
          <w:bCs/>
          <w:iCs/>
          <w:sz w:val="20"/>
          <w:szCs w:val="20"/>
          <w:lang w:bidi="ar-SA"/>
        </w:rPr>
        <w:t>.</w:t>
      </w:r>
    </w:p>
    <w:p w14:paraId="3390C6C5" w14:textId="77777777" w:rsidR="005A3A67" w:rsidRDefault="005A3A67" w:rsidP="00923861">
      <w:pPr>
        <w:keepNext/>
        <w:keepLines/>
        <w:tabs>
          <w:tab w:val="left" w:pos="1350"/>
        </w:tabs>
        <w:spacing w:after="0"/>
        <w:outlineLvl w:val="1"/>
        <w:rPr>
          <w:rFonts w:ascii="Times New Roman" w:eastAsia="Calibri" w:hAnsi="Times New Roman"/>
          <w:sz w:val="20"/>
          <w:szCs w:val="20"/>
          <w:lang w:eastAsia="ja-JP" w:bidi="ar-SA"/>
        </w:rPr>
      </w:pPr>
    </w:p>
    <w:p w14:paraId="54264503" w14:textId="7F1EFD7F" w:rsidR="005A3A67" w:rsidRDefault="005A3A67" w:rsidP="005A3A67">
      <w:pPr>
        <w:keepNext/>
        <w:keepLines/>
        <w:tabs>
          <w:tab w:val="left" w:pos="1350"/>
        </w:tabs>
        <w:spacing w:after="120"/>
        <w:jc w:val="center"/>
        <w:outlineLvl w:val="1"/>
        <w:rPr>
          <w:rFonts w:ascii="Times New Roman" w:eastAsia="Calibri" w:hAnsi="Times New Roman"/>
          <w:sz w:val="20"/>
          <w:szCs w:val="20"/>
          <w:lang w:val="en-MY" w:eastAsia="ja-JP" w:bidi="ar-SA"/>
        </w:rPr>
      </w:pPr>
      <w:r>
        <w:rPr>
          <w:rFonts w:ascii="Times New Roman" w:hAnsi="Times New Roman"/>
          <w:noProof/>
          <w:sz w:val="20"/>
          <w:szCs w:val="20"/>
        </w:rPr>
        <w:drawing>
          <wp:inline distT="0" distB="0" distL="0" distR="0" wp14:anchorId="38D6C7C7" wp14:editId="39A0A397">
            <wp:extent cx="3360420" cy="2491740"/>
            <wp:effectExtent l="0" t="0" r="11430" b="3810"/>
            <wp:docPr id="90"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2E42EC9" w14:textId="5B326EF0" w:rsidR="005A3A67" w:rsidRDefault="005A3A67" w:rsidP="005A3A67">
      <w:pPr>
        <w:keepNext/>
        <w:keepLines/>
        <w:tabs>
          <w:tab w:val="left" w:pos="0"/>
          <w:tab w:val="left" w:pos="450"/>
        </w:tabs>
        <w:spacing w:after="0"/>
        <w:jc w:val="center"/>
        <w:outlineLvl w:val="1"/>
        <w:rPr>
          <w:rFonts w:ascii="Times New Roman" w:eastAsia="Calibri" w:hAnsi="Times New Roman"/>
          <w:b/>
          <w:iCs/>
          <w:sz w:val="20"/>
          <w:szCs w:val="20"/>
          <w:lang w:eastAsia="ja-JP" w:bidi="ar-SA"/>
        </w:rPr>
      </w:pPr>
      <w:r w:rsidRPr="00B50822">
        <w:rPr>
          <w:rFonts w:ascii="Times New Roman" w:eastAsia="MS Mincho" w:hAnsi="Times New Roman" w:cs="Arial"/>
          <w:iCs/>
          <w:sz w:val="20"/>
          <w:szCs w:val="20"/>
          <w:lang w:bidi="ar-SA"/>
        </w:rPr>
        <w:t xml:space="preserve">Figure 4. </w:t>
      </w:r>
      <w:r>
        <w:rPr>
          <w:rFonts w:ascii="Times New Roman" w:eastAsia="MS Mincho" w:hAnsi="Times New Roman" w:cs="Arial"/>
          <w:iCs/>
          <w:sz w:val="20"/>
          <w:szCs w:val="20"/>
          <w:lang w:bidi="ar-SA"/>
        </w:rPr>
        <w:t xml:space="preserve"> </w:t>
      </w:r>
      <w:r w:rsidRPr="00B50822">
        <w:rPr>
          <w:rFonts w:ascii="Times New Roman" w:eastAsia="Calibri" w:hAnsi="Times New Roman"/>
          <w:bCs/>
          <w:iCs/>
          <w:sz w:val="20"/>
          <w:szCs w:val="20"/>
          <w:lang w:eastAsia="ja-JP" w:bidi="ar-SA"/>
        </w:rPr>
        <w:t>Effect of contact time on Pb(II) adsorption</w:t>
      </w:r>
    </w:p>
    <w:p w14:paraId="06D209F2" w14:textId="77777777" w:rsidR="005A3A67" w:rsidRDefault="005A3A67" w:rsidP="00606C54">
      <w:pPr>
        <w:keepNext/>
        <w:keepLines/>
        <w:tabs>
          <w:tab w:val="left" w:pos="0"/>
          <w:tab w:val="left" w:pos="450"/>
        </w:tabs>
        <w:spacing w:after="0"/>
        <w:jc w:val="both"/>
        <w:outlineLvl w:val="1"/>
        <w:rPr>
          <w:rFonts w:ascii="Times New Roman" w:eastAsia="Calibri" w:hAnsi="Times New Roman"/>
          <w:b/>
          <w:iCs/>
          <w:sz w:val="20"/>
          <w:szCs w:val="20"/>
          <w:lang w:eastAsia="ja-JP" w:bidi="ar-SA"/>
        </w:rPr>
      </w:pPr>
    </w:p>
    <w:p w14:paraId="5AB934DF" w14:textId="77777777" w:rsidR="00A70344" w:rsidRDefault="00A70344" w:rsidP="00606C54">
      <w:pPr>
        <w:keepNext/>
        <w:keepLines/>
        <w:tabs>
          <w:tab w:val="left" w:pos="0"/>
          <w:tab w:val="left" w:pos="450"/>
        </w:tabs>
        <w:spacing w:after="0"/>
        <w:jc w:val="both"/>
        <w:outlineLvl w:val="1"/>
        <w:rPr>
          <w:rFonts w:ascii="Times New Roman" w:eastAsia="Calibri" w:hAnsi="Times New Roman"/>
          <w:b/>
          <w:iCs/>
          <w:sz w:val="20"/>
          <w:szCs w:val="20"/>
          <w:lang w:eastAsia="ja-JP" w:bidi="ar-SA"/>
        </w:rPr>
      </w:pPr>
    </w:p>
    <w:p w14:paraId="1D021ACC" w14:textId="626513E5" w:rsidR="009D47A9" w:rsidRDefault="009D47A9" w:rsidP="00606C54">
      <w:pPr>
        <w:keepNext/>
        <w:keepLines/>
        <w:tabs>
          <w:tab w:val="left" w:pos="0"/>
          <w:tab w:val="left" w:pos="450"/>
        </w:tabs>
        <w:spacing w:after="0"/>
        <w:jc w:val="both"/>
        <w:outlineLvl w:val="1"/>
        <w:rPr>
          <w:rFonts w:ascii="Times New Roman" w:eastAsia="Calibri" w:hAnsi="Times New Roman"/>
          <w:b/>
          <w:iCs/>
          <w:sz w:val="20"/>
          <w:szCs w:val="20"/>
          <w:lang w:eastAsia="ja-JP" w:bidi="ar-SA"/>
        </w:rPr>
        <w:sectPr w:rsidR="009D47A9" w:rsidSect="005A3A67">
          <w:footerReference w:type="default" r:id="rId21"/>
          <w:type w:val="continuous"/>
          <w:pgSz w:w="12240" w:h="15840" w:code="1"/>
          <w:pgMar w:top="1800" w:right="1469" w:bottom="1699" w:left="1440" w:header="706" w:footer="706" w:gutter="0"/>
          <w:pgNumType w:start="1"/>
          <w:cols w:space="403"/>
          <w:docGrid w:linePitch="360"/>
        </w:sectPr>
      </w:pPr>
    </w:p>
    <w:p w14:paraId="375D470D" w14:textId="50398CF5" w:rsidR="00606C54" w:rsidRPr="00606C54" w:rsidRDefault="00606C54" w:rsidP="00606C54">
      <w:pPr>
        <w:keepNext/>
        <w:keepLines/>
        <w:tabs>
          <w:tab w:val="left" w:pos="0"/>
          <w:tab w:val="left" w:pos="450"/>
        </w:tabs>
        <w:spacing w:after="0"/>
        <w:jc w:val="both"/>
        <w:outlineLvl w:val="1"/>
        <w:rPr>
          <w:rFonts w:ascii="Times New Roman" w:eastAsia="Calibri" w:hAnsi="Times New Roman"/>
          <w:b/>
          <w:iCs/>
          <w:sz w:val="20"/>
          <w:szCs w:val="20"/>
          <w:lang w:eastAsia="ja-JP" w:bidi="ar-SA"/>
        </w:rPr>
      </w:pPr>
      <w:r w:rsidRPr="00606C54">
        <w:rPr>
          <w:rFonts w:ascii="Times New Roman" w:eastAsia="Calibri" w:hAnsi="Times New Roman"/>
          <w:b/>
          <w:iCs/>
          <w:sz w:val="20"/>
          <w:szCs w:val="20"/>
          <w:lang w:eastAsia="ja-JP" w:bidi="ar-SA"/>
        </w:rPr>
        <w:t>Effect of initial metal ion concentration on Pb(II) biosorption</w:t>
      </w:r>
      <w:bookmarkEnd w:id="32"/>
      <w:bookmarkEnd w:id="33"/>
      <w:bookmarkEnd w:id="34"/>
    </w:p>
    <w:p w14:paraId="107B9265" w14:textId="326830C6" w:rsidR="00606C54" w:rsidRDefault="00606C54"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r w:rsidRPr="00606C54">
        <w:rPr>
          <w:rFonts w:ascii="Times New Roman" w:eastAsia="MS Mincho" w:hAnsi="Times New Roman"/>
          <w:bCs/>
          <w:iCs/>
          <w:sz w:val="20"/>
          <w:szCs w:val="20"/>
          <w:lang w:bidi="ar-SA"/>
        </w:rPr>
        <w:t xml:space="preserve">The initial metal ion concentration highly affects the biosorption capacity due to a substantial driving force </w:t>
      </w:r>
      <w:r w:rsidRPr="00606C54">
        <w:rPr>
          <w:rFonts w:ascii="Times New Roman" w:eastAsia="MS Mincho" w:hAnsi="Times New Roman"/>
          <w:bCs/>
          <w:iCs/>
          <w:sz w:val="20"/>
          <w:szCs w:val="20"/>
          <w:lang w:val="en-MY" w:bidi="ar-SA"/>
        </w:rPr>
        <w:t>that</w:t>
      </w:r>
      <w:r w:rsidRPr="00606C54">
        <w:rPr>
          <w:rFonts w:ascii="Times New Roman" w:eastAsia="MS Mincho" w:hAnsi="Times New Roman"/>
          <w:bCs/>
          <w:iCs/>
          <w:sz w:val="20"/>
          <w:szCs w:val="20"/>
          <w:lang w:bidi="ar-SA"/>
        </w:rPr>
        <w:t xml:space="preserve"> eliminate</w:t>
      </w:r>
      <w:r w:rsidRPr="00606C54">
        <w:rPr>
          <w:rFonts w:ascii="Times New Roman" w:eastAsia="MS Mincho" w:hAnsi="Times New Roman"/>
          <w:bCs/>
          <w:iCs/>
          <w:sz w:val="20"/>
          <w:szCs w:val="20"/>
          <w:lang w:val="en-MY" w:bidi="ar-SA"/>
        </w:rPr>
        <w:t>s</w:t>
      </w:r>
      <w:r w:rsidRPr="00606C54">
        <w:rPr>
          <w:rFonts w:ascii="Times New Roman" w:eastAsia="MS Mincho" w:hAnsi="Times New Roman"/>
          <w:bCs/>
          <w:iCs/>
          <w:sz w:val="20"/>
          <w:szCs w:val="20"/>
          <w:lang w:bidi="ar-SA"/>
        </w:rPr>
        <w:t xml:space="preserve"> the resistance of all </w:t>
      </w:r>
      <w:r w:rsidRPr="00606C54">
        <w:rPr>
          <w:rFonts w:ascii="Times New Roman" w:eastAsia="MS Mincho" w:hAnsi="Times New Roman"/>
          <w:bCs/>
          <w:iCs/>
          <w:sz w:val="20"/>
          <w:szCs w:val="20"/>
          <w:lang w:val="en-MY" w:bidi="ar-SA"/>
        </w:rPr>
        <w:t xml:space="preserve">the </w:t>
      </w:r>
      <w:r w:rsidRPr="00606C54">
        <w:rPr>
          <w:rFonts w:ascii="Times New Roman" w:eastAsia="MS Mincho" w:hAnsi="Times New Roman"/>
          <w:bCs/>
          <w:iCs/>
          <w:sz w:val="20"/>
          <w:szCs w:val="20"/>
          <w:lang w:bidi="ar-SA"/>
        </w:rPr>
        <w:t xml:space="preserve">metal ions between the aqueous and solid phases [61]. The present study demonstrated a rapid increase in Pb(II) biosorption with increased metal ion concentration until 1000mg/L, as shown in Figure 5. The metal uptake increased slowly, implying that the biomass </w:t>
      </w:r>
      <w:r w:rsidRPr="00606C54">
        <w:rPr>
          <w:rFonts w:ascii="Times New Roman" w:eastAsia="MS Mincho" w:hAnsi="Times New Roman"/>
          <w:bCs/>
          <w:iCs/>
          <w:sz w:val="20"/>
          <w:szCs w:val="20"/>
          <w:lang w:val="en-MY" w:bidi="ar-SA"/>
        </w:rPr>
        <w:t xml:space="preserve">had </w:t>
      </w:r>
      <w:r w:rsidRPr="00606C54">
        <w:rPr>
          <w:rFonts w:ascii="Times New Roman" w:eastAsia="MS Mincho" w:hAnsi="Times New Roman"/>
          <w:bCs/>
          <w:iCs/>
          <w:sz w:val="20"/>
          <w:szCs w:val="20"/>
          <w:lang w:bidi="ar-SA"/>
        </w:rPr>
        <w:t>approached the saturation point [62].</w:t>
      </w:r>
    </w:p>
    <w:p w14:paraId="6223F312" w14:textId="77777777" w:rsidR="000A01FC" w:rsidRDefault="000A01FC" w:rsidP="00606C54">
      <w:pPr>
        <w:tabs>
          <w:tab w:val="left" w:pos="2070"/>
        </w:tabs>
        <w:autoSpaceDE w:val="0"/>
        <w:autoSpaceDN w:val="0"/>
        <w:adjustRightInd w:val="0"/>
        <w:spacing w:after="0"/>
        <w:jc w:val="both"/>
        <w:rPr>
          <w:rFonts w:ascii="Times New Roman" w:eastAsia="MS Mincho" w:hAnsi="Times New Roman"/>
          <w:bCs/>
          <w:iCs/>
          <w:sz w:val="20"/>
          <w:szCs w:val="20"/>
          <w:lang w:bidi="ar-SA"/>
        </w:rPr>
      </w:pPr>
    </w:p>
    <w:p w14:paraId="0ED922BD" w14:textId="7543B92B" w:rsidR="00D20A85" w:rsidRDefault="000A01FC" w:rsidP="000A01FC">
      <w:pPr>
        <w:tabs>
          <w:tab w:val="left" w:pos="2070"/>
        </w:tabs>
        <w:autoSpaceDE w:val="0"/>
        <w:autoSpaceDN w:val="0"/>
        <w:adjustRightInd w:val="0"/>
        <w:spacing w:after="0"/>
        <w:jc w:val="both"/>
        <w:rPr>
          <w:rFonts w:ascii="Times New Roman" w:eastAsia="MS Mincho" w:hAnsi="Times New Roman"/>
          <w:bCs/>
          <w:iCs/>
          <w:sz w:val="20"/>
          <w:szCs w:val="20"/>
          <w:lang w:bidi="ar-SA"/>
        </w:rPr>
        <w:sectPr w:rsidR="00D20A85" w:rsidSect="00D20A85">
          <w:type w:val="continuous"/>
          <w:pgSz w:w="12240" w:h="15840" w:code="1"/>
          <w:pgMar w:top="1800" w:right="1469" w:bottom="1699" w:left="1440" w:header="706" w:footer="706" w:gutter="0"/>
          <w:pgNumType w:start="1"/>
          <w:cols w:num="2" w:space="403"/>
          <w:docGrid w:linePitch="360"/>
        </w:sectPr>
      </w:pPr>
      <w:r w:rsidRPr="0063224D">
        <w:rPr>
          <w:rFonts w:ascii="Times New Roman" w:eastAsia="MS Mincho" w:hAnsi="Times New Roman"/>
          <w:bCs/>
          <w:iCs/>
          <w:sz w:val="20"/>
          <w:szCs w:val="20"/>
          <w:lang w:bidi="ar-SA"/>
        </w:rPr>
        <w:t xml:space="preserve">The increased Pb(II) uptake </w:t>
      </w:r>
      <w:r w:rsidRPr="0063224D">
        <w:rPr>
          <w:rFonts w:ascii="Times New Roman" w:eastAsia="MS Mincho" w:hAnsi="Times New Roman"/>
          <w:bCs/>
          <w:iCs/>
          <w:sz w:val="20"/>
          <w:szCs w:val="20"/>
          <w:lang w:val="en-MY" w:bidi="ar-SA"/>
        </w:rPr>
        <w:t>during</w:t>
      </w:r>
      <w:r w:rsidRPr="0063224D">
        <w:rPr>
          <w:rFonts w:ascii="Times New Roman" w:eastAsia="MS Mincho" w:hAnsi="Times New Roman"/>
          <w:bCs/>
          <w:iCs/>
          <w:sz w:val="20"/>
          <w:szCs w:val="20"/>
          <w:lang w:bidi="ar-SA"/>
        </w:rPr>
        <w:t xml:space="preserve"> the early stage might be due to the enhanced driving force of metal ions into the biomass surface and the presence of abundant binding spots on the biosorbent surface areas [63, 64]. Consequently, when</w:t>
      </w:r>
      <w:r w:rsidRPr="0063224D">
        <w:rPr>
          <w:rFonts w:ascii="Times New Roman" w:eastAsia="MS Mincho" w:hAnsi="Times New Roman"/>
          <w:bCs/>
          <w:iCs/>
          <w:sz w:val="20"/>
          <w:szCs w:val="20"/>
          <w:lang w:val="en-MY" w:bidi="ar-SA"/>
        </w:rPr>
        <w:t xml:space="preserve"> the</w:t>
      </w:r>
      <w:r w:rsidRPr="0063224D">
        <w:rPr>
          <w:rFonts w:ascii="Times New Roman" w:eastAsia="MS Mincho" w:hAnsi="Times New Roman"/>
          <w:bCs/>
          <w:iCs/>
          <w:sz w:val="20"/>
          <w:szCs w:val="20"/>
          <w:lang w:bidi="ar-SA"/>
        </w:rPr>
        <w:t xml:space="preserve"> Pb(II) ion concentration increases further, the active sites are overburdened by the ions, thereby preventing further metal ions adsorption [64, 65]. Thus, the metal uptake </w:t>
      </w:r>
      <w:r w:rsidRPr="0063224D">
        <w:rPr>
          <w:rFonts w:ascii="Times New Roman" w:eastAsia="MS Mincho" w:hAnsi="Times New Roman"/>
          <w:bCs/>
          <w:iCs/>
          <w:sz w:val="20"/>
          <w:szCs w:val="20"/>
          <w:lang w:val="en-MY" w:bidi="ar-SA"/>
        </w:rPr>
        <w:t xml:space="preserve">was enhanced </w:t>
      </w:r>
      <w:r w:rsidRPr="0063224D">
        <w:rPr>
          <w:rFonts w:ascii="Times New Roman" w:eastAsia="MS Mincho" w:hAnsi="Times New Roman"/>
          <w:bCs/>
          <w:iCs/>
          <w:sz w:val="20"/>
          <w:szCs w:val="20"/>
          <w:lang w:bidi="ar-SA"/>
        </w:rPr>
        <w:t xml:space="preserve">with </w:t>
      </w:r>
      <w:r w:rsidRPr="0063224D">
        <w:rPr>
          <w:rFonts w:ascii="Times New Roman" w:eastAsia="MS Mincho" w:hAnsi="Times New Roman"/>
          <w:bCs/>
          <w:iCs/>
          <w:sz w:val="20"/>
          <w:szCs w:val="20"/>
          <w:lang w:val="en-MY" w:bidi="ar-SA"/>
        </w:rPr>
        <w:t xml:space="preserve">an </w:t>
      </w:r>
      <w:r w:rsidRPr="0063224D">
        <w:rPr>
          <w:rFonts w:ascii="Times New Roman" w:eastAsia="MS Mincho" w:hAnsi="Times New Roman"/>
          <w:bCs/>
          <w:iCs/>
          <w:sz w:val="20"/>
          <w:szCs w:val="20"/>
          <w:lang w:bidi="ar-SA"/>
        </w:rPr>
        <w:t xml:space="preserve">increase in </w:t>
      </w:r>
      <w:r w:rsidRPr="0063224D">
        <w:rPr>
          <w:rFonts w:ascii="Times New Roman" w:eastAsia="MS Mincho" w:hAnsi="Times New Roman"/>
          <w:bCs/>
          <w:iCs/>
          <w:sz w:val="20"/>
          <w:szCs w:val="20"/>
          <w:lang w:val="en-MY" w:bidi="ar-SA"/>
        </w:rPr>
        <w:t xml:space="preserve">the </w:t>
      </w:r>
      <w:r w:rsidRPr="0063224D">
        <w:rPr>
          <w:rFonts w:ascii="Times New Roman" w:eastAsia="MS Mincho" w:hAnsi="Times New Roman"/>
          <w:bCs/>
          <w:iCs/>
          <w:sz w:val="20"/>
          <w:szCs w:val="20"/>
          <w:lang w:bidi="ar-SA"/>
        </w:rPr>
        <w:t>initial levels of Pb(II) ions</w:t>
      </w:r>
      <w:r w:rsidRPr="0063224D">
        <w:rPr>
          <w:rFonts w:ascii="Times New Roman" w:eastAsia="MS Mincho" w:hAnsi="Times New Roman"/>
          <w:bCs/>
          <w:iCs/>
          <w:sz w:val="20"/>
          <w:szCs w:val="20"/>
          <w:lang w:val="en-MY" w:bidi="ar-SA"/>
        </w:rPr>
        <w:t>,</w:t>
      </w:r>
      <w:r w:rsidRPr="0063224D">
        <w:rPr>
          <w:rFonts w:ascii="Times New Roman" w:eastAsia="MS Mincho" w:hAnsi="Times New Roman"/>
          <w:bCs/>
          <w:iCs/>
          <w:sz w:val="20"/>
          <w:szCs w:val="20"/>
          <w:lang w:bidi="ar-SA"/>
        </w:rPr>
        <w:t xml:space="preserve"> reach</w:t>
      </w:r>
      <w:r w:rsidRPr="0063224D">
        <w:rPr>
          <w:rFonts w:ascii="Times New Roman" w:eastAsia="MS Mincho" w:hAnsi="Times New Roman"/>
          <w:bCs/>
          <w:iCs/>
          <w:sz w:val="20"/>
          <w:szCs w:val="20"/>
          <w:lang w:val="en-MY" w:bidi="ar-SA"/>
        </w:rPr>
        <w:t>ing</w:t>
      </w:r>
      <w:r w:rsidRPr="0063224D">
        <w:rPr>
          <w:rFonts w:ascii="Times New Roman" w:eastAsia="MS Mincho" w:hAnsi="Times New Roman"/>
          <w:bCs/>
          <w:iCs/>
          <w:sz w:val="20"/>
          <w:szCs w:val="20"/>
          <w:lang w:bidi="ar-SA"/>
        </w:rPr>
        <w:t xml:space="preserve"> saturation when Pb(II) concentration attained a threshold value</w:t>
      </w:r>
      <w:r w:rsidR="00C97688">
        <w:rPr>
          <w:rFonts w:ascii="Times New Roman" w:eastAsia="MS Mincho" w:hAnsi="Times New Roman"/>
          <w:bCs/>
          <w:iCs/>
          <w:sz w:val="20"/>
          <w:szCs w:val="20"/>
          <w:lang w:bidi="ar-SA"/>
        </w:rPr>
        <w:t>.</w:t>
      </w:r>
    </w:p>
    <w:p w14:paraId="3F49974D" w14:textId="053E38F9" w:rsidR="00D20A85" w:rsidRPr="00C97688" w:rsidRDefault="00C97688" w:rsidP="00C97688">
      <w:pPr>
        <w:tabs>
          <w:tab w:val="left" w:pos="2070"/>
        </w:tabs>
        <w:autoSpaceDE w:val="0"/>
        <w:autoSpaceDN w:val="0"/>
        <w:adjustRightInd w:val="0"/>
        <w:spacing w:after="120"/>
        <w:jc w:val="center"/>
        <w:rPr>
          <w:rFonts w:ascii="Times New Roman" w:eastAsia="MS Mincho" w:hAnsi="Times New Roman"/>
          <w:bCs/>
          <w:iCs/>
          <w:sz w:val="20"/>
          <w:szCs w:val="20"/>
          <w:lang w:bidi="ar-SA"/>
        </w:rPr>
      </w:pPr>
      <w:r>
        <w:rPr>
          <w:rFonts w:ascii="Times New Roman" w:hAnsi="Times New Roman"/>
          <w:noProof/>
          <w:sz w:val="20"/>
          <w:szCs w:val="20"/>
        </w:rPr>
        <w:drawing>
          <wp:inline distT="0" distB="0" distL="0" distR="0" wp14:anchorId="6DC71787" wp14:editId="09DE828B">
            <wp:extent cx="3429000" cy="2171700"/>
            <wp:effectExtent l="0" t="0" r="0" b="0"/>
            <wp:docPr id="92"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489FB1" w14:textId="267A5CDF" w:rsidR="00C97688" w:rsidRDefault="00C97688" w:rsidP="00C97688">
      <w:pPr>
        <w:tabs>
          <w:tab w:val="left" w:pos="0"/>
        </w:tabs>
        <w:autoSpaceDE w:val="0"/>
        <w:autoSpaceDN w:val="0"/>
        <w:adjustRightInd w:val="0"/>
        <w:spacing w:after="120"/>
        <w:jc w:val="center"/>
        <w:rPr>
          <w:rFonts w:ascii="Times New Roman" w:eastAsia="Calibri" w:hAnsi="Times New Roman"/>
          <w:bCs/>
          <w:iCs/>
          <w:color w:val="548DD4"/>
          <w:sz w:val="20"/>
          <w:szCs w:val="20"/>
          <w:lang w:val="en-MY" w:eastAsia="ja-JP" w:bidi="ar-SA"/>
        </w:rPr>
        <w:sectPr w:rsidR="00C97688" w:rsidSect="00D20A85">
          <w:type w:val="continuous"/>
          <w:pgSz w:w="12240" w:h="15840" w:code="1"/>
          <w:pgMar w:top="1800" w:right="1469" w:bottom="1699" w:left="1440" w:header="706" w:footer="706" w:gutter="0"/>
          <w:pgNumType w:start="1"/>
          <w:cols w:space="403"/>
          <w:docGrid w:linePitch="360"/>
        </w:sectPr>
      </w:pPr>
    </w:p>
    <w:p w14:paraId="65DD9EFB" w14:textId="0FF46818" w:rsidR="001F55CF" w:rsidRPr="001F55CF" w:rsidRDefault="00D20A85" w:rsidP="001F55CF">
      <w:pPr>
        <w:tabs>
          <w:tab w:val="left" w:pos="2070"/>
        </w:tabs>
        <w:autoSpaceDE w:val="0"/>
        <w:autoSpaceDN w:val="0"/>
        <w:adjustRightInd w:val="0"/>
        <w:spacing w:after="0"/>
        <w:jc w:val="center"/>
        <w:rPr>
          <w:rFonts w:ascii="Times New Roman" w:eastAsia="MS Mincho" w:hAnsi="Times New Roman" w:cs="Arial"/>
          <w:b/>
          <w:iCs/>
          <w:sz w:val="20"/>
          <w:szCs w:val="20"/>
          <w:lang w:val="en-MY" w:bidi="ar-SA"/>
        </w:rPr>
        <w:sectPr w:rsidR="001F55CF" w:rsidRPr="001F55CF" w:rsidSect="00D20A85">
          <w:type w:val="continuous"/>
          <w:pgSz w:w="12240" w:h="15840" w:code="1"/>
          <w:pgMar w:top="1800" w:right="1469" w:bottom="1699" w:left="1440" w:header="706" w:footer="706" w:gutter="0"/>
          <w:pgNumType w:start="1"/>
          <w:cols w:space="403"/>
          <w:docGrid w:linePitch="360"/>
        </w:sectPr>
      </w:pPr>
      <w:r w:rsidRPr="00B50822">
        <w:rPr>
          <w:rFonts w:ascii="Times New Roman" w:eastAsia="MS Mincho" w:hAnsi="Times New Roman" w:cs="Arial"/>
          <w:bCs/>
          <w:sz w:val="20"/>
          <w:szCs w:val="20"/>
          <w:lang w:bidi="ar-SA"/>
        </w:rPr>
        <w:t>Figure</w:t>
      </w:r>
      <w:r w:rsidRPr="00B50822">
        <w:rPr>
          <w:rFonts w:ascii="Times New Roman" w:eastAsia="MS Mincho" w:hAnsi="Times New Roman" w:cs="Arial"/>
          <w:b/>
          <w:sz w:val="20"/>
          <w:szCs w:val="20"/>
          <w:lang w:bidi="ar-SA"/>
        </w:rPr>
        <w:t xml:space="preserve"> </w:t>
      </w:r>
      <w:r w:rsidRPr="00B50822">
        <w:rPr>
          <w:rFonts w:ascii="Times New Roman" w:eastAsia="MS Mincho" w:hAnsi="Times New Roman" w:cs="Arial"/>
          <w:bCs/>
          <w:sz w:val="20"/>
          <w:szCs w:val="20"/>
          <w:lang w:bidi="ar-SA"/>
        </w:rPr>
        <w:t>5.</w:t>
      </w:r>
      <w:r w:rsidRPr="00B50822">
        <w:rPr>
          <w:rFonts w:ascii="Times New Roman" w:eastAsia="MS Mincho" w:hAnsi="Times New Roman" w:cs="Arial"/>
          <w:b/>
          <w:sz w:val="20"/>
          <w:szCs w:val="20"/>
          <w:lang w:bidi="ar-SA"/>
        </w:rPr>
        <w:t xml:space="preserve"> </w:t>
      </w:r>
      <w:r>
        <w:rPr>
          <w:rFonts w:ascii="Times New Roman" w:eastAsia="MS Mincho" w:hAnsi="Times New Roman" w:cs="Arial"/>
          <w:b/>
          <w:sz w:val="20"/>
          <w:szCs w:val="20"/>
          <w:lang w:bidi="ar-SA"/>
        </w:rPr>
        <w:t xml:space="preserve"> </w:t>
      </w:r>
      <w:r w:rsidRPr="00B50822">
        <w:rPr>
          <w:rFonts w:ascii="Times New Roman" w:eastAsia="Calibri" w:hAnsi="Times New Roman"/>
          <w:iCs/>
          <w:sz w:val="20"/>
          <w:szCs w:val="20"/>
          <w:lang w:eastAsia="ja-JP" w:bidi="ar-SA"/>
        </w:rPr>
        <w:t xml:space="preserve">Effect of initial Pb (II) concentration on Pb(II) biosorption onto </w:t>
      </w:r>
      <w:r w:rsidRPr="00B50822">
        <w:rPr>
          <w:rFonts w:ascii="Times New Roman" w:eastAsia="Calibri" w:hAnsi="Times New Roman"/>
          <w:i/>
          <w:iCs/>
          <w:sz w:val="20"/>
          <w:szCs w:val="20"/>
          <w:lang w:eastAsia="ja-JP" w:bidi="ar-SA"/>
        </w:rPr>
        <w:t>E. denticula</w:t>
      </w:r>
    </w:p>
    <w:p w14:paraId="0B7AC4C5" w14:textId="4D159FAB" w:rsidR="00D20A85" w:rsidRDefault="00D20A85" w:rsidP="00606C54">
      <w:pPr>
        <w:tabs>
          <w:tab w:val="left" w:pos="2070"/>
        </w:tabs>
        <w:autoSpaceDE w:val="0"/>
        <w:autoSpaceDN w:val="0"/>
        <w:adjustRightInd w:val="0"/>
        <w:spacing w:after="0"/>
        <w:jc w:val="both"/>
        <w:rPr>
          <w:rFonts w:ascii="Times New Roman" w:eastAsia="MS Mincho" w:hAnsi="Times New Roman"/>
          <w:bCs/>
          <w:iCs/>
          <w:sz w:val="20"/>
          <w:szCs w:val="20"/>
          <w:lang w:bidi="ar-SA"/>
        </w:rPr>
        <w:sectPr w:rsidR="00D20A85" w:rsidSect="001F55CF">
          <w:footerReference w:type="even" r:id="rId23"/>
          <w:type w:val="evenPage"/>
          <w:pgSz w:w="12240" w:h="15840" w:code="1"/>
          <w:pgMar w:top="1800" w:right="1469" w:bottom="1699" w:left="1440" w:header="706" w:footer="706" w:gutter="0"/>
          <w:pgNumType w:start="1"/>
          <w:cols w:space="403"/>
          <w:docGrid w:linePitch="360"/>
        </w:sectPr>
      </w:pPr>
    </w:p>
    <w:p w14:paraId="4608EB8A" w14:textId="77777777" w:rsidR="00D20A85" w:rsidRDefault="00D20A85" w:rsidP="000522FC">
      <w:pPr>
        <w:keepNext/>
        <w:keepLines/>
        <w:tabs>
          <w:tab w:val="left" w:pos="1350"/>
        </w:tabs>
        <w:spacing w:after="0"/>
        <w:jc w:val="both"/>
        <w:outlineLvl w:val="1"/>
        <w:rPr>
          <w:rFonts w:ascii="Times New Roman" w:eastAsia="Calibri" w:hAnsi="Times New Roman"/>
          <w:b/>
          <w:iCs/>
          <w:sz w:val="20"/>
          <w:szCs w:val="20"/>
          <w:lang w:eastAsia="ja-JP" w:bidi="ar-SA"/>
        </w:rPr>
        <w:sectPr w:rsidR="00D20A85" w:rsidSect="00D20A85">
          <w:type w:val="continuous"/>
          <w:pgSz w:w="12240" w:h="15840" w:code="1"/>
          <w:pgMar w:top="1800" w:right="1469" w:bottom="1699" w:left="1440" w:header="706" w:footer="706" w:gutter="0"/>
          <w:pgNumType w:start="1"/>
          <w:cols w:space="403"/>
          <w:docGrid w:linePitch="360"/>
        </w:sectPr>
      </w:pPr>
      <w:bookmarkStart w:id="35" w:name="_Toc361714584"/>
      <w:bookmarkStart w:id="36" w:name="_Toc362167014"/>
    </w:p>
    <w:p w14:paraId="6052BA47" w14:textId="77777777" w:rsidR="00D20A85" w:rsidRPr="0030175F" w:rsidRDefault="00D20A85" w:rsidP="000522FC">
      <w:pPr>
        <w:keepNext/>
        <w:keepLines/>
        <w:tabs>
          <w:tab w:val="left" w:pos="1350"/>
        </w:tabs>
        <w:spacing w:after="0"/>
        <w:jc w:val="both"/>
        <w:outlineLvl w:val="1"/>
        <w:rPr>
          <w:rFonts w:ascii="Times New Roman" w:eastAsia="Calibri" w:hAnsi="Times New Roman"/>
          <w:b/>
          <w:iCs/>
          <w:sz w:val="20"/>
          <w:szCs w:val="20"/>
          <w:lang w:eastAsia="ja-JP" w:bidi="ar-SA"/>
        </w:rPr>
      </w:pPr>
      <w:r w:rsidRPr="0030175F">
        <w:rPr>
          <w:rFonts w:ascii="Times New Roman" w:eastAsia="Calibri" w:hAnsi="Times New Roman"/>
          <w:b/>
          <w:iCs/>
          <w:sz w:val="20"/>
          <w:szCs w:val="20"/>
          <w:lang w:eastAsia="ja-JP" w:bidi="ar-SA"/>
        </w:rPr>
        <w:t xml:space="preserve">Biosorption models </w:t>
      </w:r>
      <w:bookmarkEnd w:id="35"/>
      <w:bookmarkEnd w:id="36"/>
    </w:p>
    <w:p w14:paraId="60C12090" w14:textId="77777777" w:rsidR="00D20A85" w:rsidRDefault="00D20A85" w:rsidP="00D20A85">
      <w:pPr>
        <w:spacing w:after="0"/>
        <w:contextualSpacing/>
        <w:jc w:val="both"/>
        <w:rPr>
          <w:rFonts w:ascii="Times New Roman" w:eastAsia="MS Mincho" w:hAnsi="Times New Roman" w:cs="Arial"/>
          <w:bCs/>
          <w:iCs/>
          <w:sz w:val="20"/>
          <w:szCs w:val="20"/>
          <w:lang w:bidi="ar-SA"/>
        </w:rPr>
      </w:pPr>
      <w:r w:rsidRPr="0030175F">
        <w:rPr>
          <w:rFonts w:ascii="Times New Roman" w:eastAsia="MS Mincho" w:hAnsi="Times New Roman" w:cs="Arial"/>
          <w:sz w:val="20"/>
          <w:szCs w:val="20"/>
          <w:lang w:val="en-MY" w:bidi="ar-SA"/>
        </w:rPr>
        <w:t xml:space="preserve">The </w:t>
      </w:r>
      <w:r w:rsidRPr="0030175F">
        <w:rPr>
          <w:rFonts w:ascii="Times New Roman" w:eastAsia="MS Mincho" w:hAnsi="Times New Roman" w:cs="Arial"/>
          <w:sz w:val="20"/>
          <w:szCs w:val="20"/>
          <w:lang w:bidi="ar-SA"/>
        </w:rPr>
        <w:t xml:space="preserve">Freundlich and Langmuir </w:t>
      </w:r>
      <w:r w:rsidRPr="0030175F">
        <w:rPr>
          <w:rFonts w:ascii="Times New Roman" w:eastAsia="MS Mincho" w:hAnsi="Times New Roman" w:cs="Arial"/>
          <w:sz w:val="20"/>
          <w:szCs w:val="20"/>
          <w:lang w:val="en-MY" w:bidi="ar-SA"/>
        </w:rPr>
        <w:t xml:space="preserve">models </w:t>
      </w:r>
      <w:r w:rsidRPr="0030175F">
        <w:rPr>
          <w:rFonts w:ascii="Times New Roman" w:eastAsia="MS Mincho" w:hAnsi="Times New Roman" w:cs="Arial"/>
          <w:sz w:val="20"/>
          <w:szCs w:val="20"/>
          <w:lang w:bidi="ar-SA"/>
        </w:rPr>
        <w:t>are isotherm models used to present the relation between equilibrium metal biosorption (q) and final concentration (C</w:t>
      </w:r>
      <w:r w:rsidRPr="0030175F">
        <w:rPr>
          <w:rFonts w:ascii="Times New Roman" w:eastAsia="MS Mincho" w:hAnsi="Times New Roman" w:cs="Arial"/>
          <w:sz w:val="20"/>
          <w:szCs w:val="20"/>
          <w:vertAlign w:val="subscript"/>
          <w:lang w:bidi="ar-SA"/>
        </w:rPr>
        <w:t>f</w:t>
      </w:r>
      <w:r w:rsidRPr="0030175F">
        <w:rPr>
          <w:rFonts w:ascii="Times New Roman" w:eastAsia="MS Mincho" w:hAnsi="Times New Roman" w:cs="Arial"/>
          <w:sz w:val="20"/>
          <w:szCs w:val="20"/>
          <w:lang w:bidi="ar-SA"/>
        </w:rPr>
        <w:t xml:space="preserve">) at equilibrium [66]. </w:t>
      </w:r>
      <w:r w:rsidRPr="0030175F">
        <w:rPr>
          <w:rFonts w:ascii="Times New Roman" w:eastAsia="MS Mincho" w:hAnsi="Times New Roman" w:cs="Arial"/>
          <w:bCs/>
          <w:iCs/>
          <w:sz w:val="20"/>
          <w:szCs w:val="20"/>
          <w:lang w:bidi="ar-SA"/>
        </w:rPr>
        <w:t xml:space="preserve">Both adsorption models were used to measure the relationship between </w:t>
      </w:r>
      <w:r w:rsidRPr="0030175F">
        <w:rPr>
          <w:rFonts w:ascii="Times New Roman" w:eastAsia="MS Mincho" w:hAnsi="Times New Roman" w:cs="Arial"/>
          <w:bCs/>
          <w:iCs/>
          <w:sz w:val="20"/>
          <w:szCs w:val="20"/>
          <w:lang w:val="en-MY" w:bidi="ar-SA"/>
        </w:rPr>
        <w:t xml:space="preserve">the </w:t>
      </w:r>
      <w:r w:rsidRPr="0030175F">
        <w:rPr>
          <w:rFonts w:ascii="Times New Roman" w:eastAsia="MS Mincho" w:hAnsi="Times New Roman" w:cs="Arial"/>
          <w:bCs/>
          <w:iCs/>
          <w:sz w:val="20"/>
          <w:szCs w:val="20"/>
          <w:lang w:bidi="ar-SA"/>
        </w:rPr>
        <w:t>Pb (II) uptake capability (</w:t>
      </w:r>
      <w:r w:rsidRPr="0030175F">
        <w:rPr>
          <w:rFonts w:ascii="Times New Roman" w:eastAsia="MS Mincho" w:hAnsi="Times New Roman" w:cs="Arial"/>
          <w:bCs/>
          <w:i/>
          <w:iCs/>
          <w:sz w:val="20"/>
          <w:szCs w:val="20"/>
          <w:lang w:bidi="ar-SA"/>
        </w:rPr>
        <w:t>q</w:t>
      </w:r>
      <w:r w:rsidRPr="0030175F">
        <w:rPr>
          <w:rFonts w:ascii="Times New Roman" w:eastAsia="MS Mincho" w:hAnsi="Times New Roman" w:cs="Arial"/>
          <w:bCs/>
          <w:iCs/>
          <w:sz w:val="20"/>
          <w:szCs w:val="20"/>
          <w:lang w:bidi="ar-SA"/>
        </w:rPr>
        <w:t>) and equilibrium concentration (</w:t>
      </w:r>
      <w:r w:rsidRPr="0030175F">
        <w:rPr>
          <w:rFonts w:ascii="Times New Roman" w:eastAsia="MS Mincho" w:hAnsi="Times New Roman" w:cs="Arial"/>
          <w:bCs/>
          <w:i/>
          <w:iCs/>
          <w:sz w:val="20"/>
          <w:szCs w:val="20"/>
          <w:lang w:bidi="ar-SA"/>
        </w:rPr>
        <w:t>C</w:t>
      </w:r>
      <w:r w:rsidRPr="0030175F">
        <w:rPr>
          <w:rFonts w:ascii="Times New Roman" w:eastAsia="MS Mincho" w:hAnsi="Times New Roman" w:cs="Arial"/>
          <w:bCs/>
          <w:i/>
          <w:iCs/>
          <w:sz w:val="20"/>
          <w:szCs w:val="20"/>
          <w:vertAlign w:val="subscript"/>
          <w:lang w:bidi="ar-SA"/>
        </w:rPr>
        <w:t>f</w:t>
      </w:r>
      <w:r w:rsidRPr="0030175F">
        <w:rPr>
          <w:rFonts w:ascii="Times New Roman" w:eastAsia="MS Mincho" w:hAnsi="Times New Roman" w:cs="Arial"/>
          <w:bCs/>
          <w:iCs/>
          <w:sz w:val="20"/>
          <w:szCs w:val="20"/>
          <w:lang w:bidi="ar-SA"/>
        </w:rPr>
        <w:t xml:space="preserve">). The constants and correlation coefficients of the adsorption models </w:t>
      </w:r>
      <w:r w:rsidRPr="0030175F">
        <w:rPr>
          <w:rFonts w:ascii="Times New Roman" w:eastAsia="MS Mincho" w:hAnsi="Times New Roman" w:cs="Arial"/>
          <w:bCs/>
          <w:iCs/>
          <w:sz w:val="20"/>
          <w:szCs w:val="20"/>
          <w:lang w:val="en-MY" w:bidi="ar-SA"/>
        </w:rPr>
        <w:t xml:space="preserve">employed </w:t>
      </w:r>
      <w:r w:rsidRPr="0030175F">
        <w:rPr>
          <w:rFonts w:ascii="Times New Roman" w:eastAsia="MS Mincho" w:hAnsi="Times New Roman" w:cs="Arial"/>
          <w:bCs/>
          <w:iCs/>
          <w:sz w:val="20"/>
          <w:szCs w:val="20"/>
          <w:lang w:bidi="ar-SA"/>
        </w:rPr>
        <w:t>were determined from the respective adsorption isotherms (Table 1). It was found that the Langmuir model (R</w:t>
      </w:r>
      <w:r w:rsidRPr="0030175F">
        <w:rPr>
          <w:rFonts w:ascii="Times New Roman" w:eastAsia="MS Mincho" w:hAnsi="Times New Roman" w:cs="Arial"/>
          <w:bCs/>
          <w:iCs/>
          <w:sz w:val="20"/>
          <w:szCs w:val="20"/>
          <w:vertAlign w:val="superscript"/>
          <w:lang w:bidi="ar-SA"/>
        </w:rPr>
        <w:t>2</w:t>
      </w:r>
      <w:r w:rsidRPr="0030175F">
        <w:rPr>
          <w:rFonts w:ascii="Times New Roman" w:eastAsia="MS Mincho" w:hAnsi="Times New Roman" w:cs="Arial"/>
          <w:bCs/>
          <w:iCs/>
          <w:sz w:val="20"/>
          <w:szCs w:val="20"/>
          <w:lang w:bidi="ar-SA"/>
        </w:rPr>
        <w:t xml:space="preserve"> = 0.9935) fitted well</w:t>
      </w:r>
      <w:r w:rsidRPr="0030175F">
        <w:rPr>
          <w:rFonts w:ascii="Times New Roman" w:eastAsia="MS Mincho" w:hAnsi="Times New Roman" w:cs="Arial"/>
          <w:bCs/>
          <w:iCs/>
          <w:sz w:val="20"/>
          <w:szCs w:val="20"/>
          <w:lang w:val="en-MY" w:bidi="ar-SA"/>
        </w:rPr>
        <w:t xml:space="preserve">, </w:t>
      </w:r>
      <w:r w:rsidRPr="0030175F">
        <w:rPr>
          <w:rFonts w:ascii="Times New Roman" w:eastAsia="MS Mincho" w:hAnsi="Times New Roman" w:cs="Arial"/>
          <w:bCs/>
          <w:iCs/>
          <w:sz w:val="20"/>
          <w:szCs w:val="20"/>
          <w:lang w:bidi="ar-SA"/>
        </w:rPr>
        <w:t>compared with the Freundlich model (R</w:t>
      </w:r>
      <w:r w:rsidRPr="0030175F">
        <w:rPr>
          <w:rFonts w:ascii="Times New Roman" w:eastAsia="MS Mincho" w:hAnsi="Times New Roman" w:cs="Arial"/>
          <w:bCs/>
          <w:iCs/>
          <w:sz w:val="20"/>
          <w:szCs w:val="20"/>
          <w:vertAlign w:val="superscript"/>
          <w:lang w:bidi="ar-SA"/>
        </w:rPr>
        <w:t>2</w:t>
      </w:r>
      <w:r w:rsidRPr="0030175F">
        <w:rPr>
          <w:rFonts w:ascii="Times New Roman" w:eastAsia="MS Mincho" w:hAnsi="Times New Roman" w:cs="Arial"/>
          <w:bCs/>
          <w:iCs/>
          <w:sz w:val="20"/>
          <w:szCs w:val="20"/>
          <w:lang w:bidi="ar-SA"/>
        </w:rPr>
        <w:t xml:space="preserve"> = 0.9534). The high Langmuir correlation coefficient suggests </w:t>
      </w:r>
      <w:r w:rsidRPr="0030175F">
        <w:rPr>
          <w:rFonts w:ascii="Times New Roman" w:eastAsia="MS Mincho" w:hAnsi="Times New Roman" w:cs="Arial"/>
          <w:bCs/>
          <w:iCs/>
          <w:sz w:val="20"/>
          <w:szCs w:val="20"/>
          <w:lang w:val="en-MY" w:bidi="ar-SA"/>
        </w:rPr>
        <w:t xml:space="preserve">the </w:t>
      </w:r>
      <w:r w:rsidRPr="0030175F">
        <w:rPr>
          <w:rFonts w:ascii="Times New Roman" w:eastAsia="MS Mincho" w:hAnsi="Times New Roman" w:cs="Arial"/>
          <w:bCs/>
          <w:iCs/>
          <w:sz w:val="20"/>
          <w:szCs w:val="20"/>
          <w:lang w:bidi="ar-SA"/>
        </w:rPr>
        <w:t xml:space="preserve">conformity of the P(II) adsorption to the model, implying the existence of monolayer adsorption conditions in the Pb (II) – </w:t>
      </w:r>
      <w:r w:rsidRPr="0030175F">
        <w:rPr>
          <w:rFonts w:ascii="Times New Roman" w:eastAsia="MS Mincho" w:hAnsi="Times New Roman" w:cs="Arial"/>
          <w:bCs/>
          <w:i/>
          <w:iCs/>
          <w:sz w:val="20"/>
          <w:szCs w:val="20"/>
          <w:lang w:bidi="ar-SA"/>
        </w:rPr>
        <w:t xml:space="preserve">E. denticulatum </w:t>
      </w:r>
      <w:r w:rsidRPr="0030175F">
        <w:rPr>
          <w:rFonts w:ascii="Times New Roman" w:eastAsia="MS Mincho" w:hAnsi="Times New Roman" w:cs="Arial"/>
          <w:bCs/>
          <w:iCs/>
          <w:sz w:val="20"/>
          <w:szCs w:val="20"/>
          <w:lang w:bidi="ar-SA"/>
        </w:rPr>
        <w:t>system [67].</w:t>
      </w:r>
    </w:p>
    <w:p w14:paraId="6C0B2E4B" w14:textId="77777777" w:rsidR="00D20A85" w:rsidRPr="0030175F" w:rsidRDefault="00D20A85" w:rsidP="00D20A85">
      <w:pPr>
        <w:spacing w:after="0"/>
        <w:contextualSpacing/>
        <w:jc w:val="both"/>
        <w:rPr>
          <w:rFonts w:ascii="Times New Roman" w:eastAsia="MS Mincho" w:hAnsi="Times New Roman" w:cs="Arial"/>
          <w:bCs/>
          <w:iCs/>
          <w:sz w:val="20"/>
          <w:szCs w:val="20"/>
          <w:lang w:bidi="ar-SA"/>
        </w:rPr>
      </w:pPr>
    </w:p>
    <w:p w14:paraId="03FBE85D" w14:textId="77777777" w:rsidR="00D20A85" w:rsidRDefault="00D20A85" w:rsidP="00D20A85">
      <w:pPr>
        <w:tabs>
          <w:tab w:val="left" w:pos="2070"/>
        </w:tabs>
        <w:autoSpaceDE w:val="0"/>
        <w:autoSpaceDN w:val="0"/>
        <w:adjustRightInd w:val="0"/>
        <w:spacing w:after="0"/>
        <w:jc w:val="both"/>
        <w:rPr>
          <w:rFonts w:ascii="Times New Roman" w:eastAsia="MS Mincho" w:hAnsi="Times New Roman" w:cs="Arial"/>
          <w:bCs/>
          <w:iCs/>
          <w:sz w:val="20"/>
          <w:szCs w:val="20"/>
          <w:lang w:bidi="ar-SA"/>
        </w:rPr>
      </w:pPr>
      <w:r w:rsidRPr="0030175F">
        <w:rPr>
          <w:rFonts w:ascii="Times New Roman" w:eastAsia="MS Mincho" w:hAnsi="Times New Roman" w:cs="Arial"/>
          <w:bCs/>
          <w:iCs/>
          <w:sz w:val="20"/>
          <w:szCs w:val="20"/>
          <w:lang w:bidi="ar-SA"/>
        </w:rPr>
        <w:t>The maximum Langmuir monolayer Pb(II) uptake capacity (q</w:t>
      </w:r>
      <w:r w:rsidRPr="0030175F">
        <w:rPr>
          <w:rFonts w:ascii="Times New Roman" w:eastAsia="MS Mincho" w:hAnsi="Times New Roman" w:cs="Arial"/>
          <w:bCs/>
          <w:iCs/>
          <w:sz w:val="20"/>
          <w:szCs w:val="20"/>
          <w:vertAlign w:val="subscript"/>
          <w:lang w:bidi="ar-SA"/>
        </w:rPr>
        <w:t>m</w:t>
      </w:r>
      <w:r w:rsidRPr="0030175F">
        <w:rPr>
          <w:rFonts w:ascii="Times New Roman" w:eastAsia="MS Mincho" w:hAnsi="Times New Roman" w:cs="Arial"/>
          <w:bCs/>
          <w:iCs/>
          <w:sz w:val="20"/>
          <w:szCs w:val="20"/>
          <w:lang w:bidi="ar-SA"/>
        </w:rPr>
        <w:t xml:space="preserve">) and the Langmuir constant (b) isotherm were 175.13 mg/g and 0.01476 l/mg, </w:t>
      </w:r>
      <w:r w:rsidRPr="0030175F">
        <w:rPr>
          <w:rFonts w:ascii="Times New Roman" w:eastAsia="MS Mincho" w:hAnsi="Times New Roman" w:cs="Arial"/>
          <w:bCs/>
          <w:iCs/>
          <w:sz w:val="20"/>
          <w:szCs w:val="20"/>
          <w:lang w:val="en-MY" w:bidi="ar-SA"/>
        </w:rPr>
        <w:t xml:space="preserve">respectively, </w:t>
      </w:r>
      <w:r w:rsidRPr="0030175F">
        <w:rPr>
          <w:rFonts w:ascii="Times New Roman" w:eastAsia="MS Mincho" w:hAnsi="Times New Roman" w:cs="Arial"/>
          <w:bCs/>
          <w:iCs/>
          <w:sz w:val="20"/>
          <w:szCs w:val="20"/>
          <w:lang w:bidi="ar-SA"/>
        </w:rPr>
        <w:t xml:space="preserve">implying the high uptake of Pb(II) by the biomass, which might </w:t>
      </w:r>
      <w:r w:rsidRPr="0030175F">
        <w:rPr>
          <w:rFonts w:ascii="Times New Roman" w:eastAsia="MS Mincho" w:hAnsi="Times New Roman" w:cs="Arial"/>
          <w:bCs/>
          <w:iCs/>
          <w:sz w:val="20"/>
          <w:szCs w:val="20"/>
          <w:lang w:val="en-MY" w:bidi="ar-SA"/>
        </w:rPr>
        <w:t>have been</w:t>
      </w:r>
      <w:r w:rsidRPr="0030175F">
        <w:rPr>
          <w:rFonts w:ascii="Times New Roman" w:eastAsia="MS Mincho" w:hAnsi="Times New Roman" w:cs="Arial"/>
          <w:bCs/>
          <w:iCs/>
          <w:sz w:val="20"/>
          <w:szCs w:val="20"/>
          <w:lang w:bidi="ar-SA"/>
        </w:rPr>
        <w:t xml:space="preserve"> due to its low capability of </w:t>
      </w:r>
      <w:r w:rsidRPr="0030175F">
        <w:rPr>
          <w:rFonts w:ascii="Times New Roman" w:eastAsia="MS Mincho" w:hAnsi="Times New Roman" w:cs="Arial"/>
          <w:bCs/>
          <w:iCs/>
          <w:sz w:val="20"/>
          <w:szCs w:val="20"/>
          <w:lang w:bidi="ar-SA"/>
        </w:rPr>
        <w:t xml:space="preserve">forming complex [68]. The presence of carboxylate polysaccharides in seaweed promotes </w:t>
      </w:r>
      <w:r w:rsidRPr="0030175F">
        <w:rPr>
          <w:rFonts w:ascii="Times New Roman" w:eastAsia="MS Mincho" w:hAnsi="Times New Roman" w:cs="Arial"/>
          <w:bCs/>
          <w:iCs/>
          <w:sz w:val="20"/>
          <w:szCs w:val="20"/>
          <w:lang w:val="en-MY" w:bidi="ar-SA"/>
        </w:rPr>
        <w:t xml:space="preserve">the </w:t>
      </w:r>
      <w:r w:rsidRPr="0030175F">
        <w:rPr>
          <w:rFonts w:ascii="Times New Roman" w:eastAsia="MS Mincho" w:hAnsi="Times New Roman" w:cs="Arial"/>
          <w:bCs/>
          <w:iCs/>
          <w:sz w:val="20"/>
          <w:szCs w:val="20"/>
          <w:lang w:bidi="ar-SA"/>
        </w:rPr>
        <w:t xml:space="preserve">binding </w:t>
      </w:r>
      <w:r w:rsidRPr="0030175F">
        <w:rPr>
          <w:rFonts w:ascii="Times New Roman" w:eastAsia="MS Mincho" w:hAnsi="Times New Roman" w:cs="Arial"/>
          <w:bCs/>
          <w:iCs/>
          <w:sz w:val="20"/>
          <w:szCs w:val="20"/>
          <w:lang w:val="en-MY" w:bidi="ar-SA"/>
        </w:rPr>
        <w:t xml:space="preserve">of </w:t>
      </w:r>
      <w:r w:rsidRPr="0030175F">
        <w:rPr>
          <w:rFonts w:ascii="Times New Roman" w:eastAsia="MS Mincho" w:hAnsi="Times New Roman" w:cs="Arial"/>
          <w:bCs/>
          <w:iCs/>
          <w:sz w:val="20"/>
          <w:szCs w:val="20"/>
          <w:lang w:bidi="ar-SA"/>
        </w:rPr>
        <w:t>cations</w:t>
      </w:r>
      <w:r w:rsidRPr="0030175F">
        <w:rPr>
          <w:rFonts w:ascii="Times New Roman" w:eastAsia="MS Mincho" w:hAnsi="Times New Roman" w:cs="Arial"/>
          <w:bCs/>
          <w:iCs/>
          <w:sz w:val="20"/>
          <w:szCs w:val="20"/>
          <w:lang w:val="en-MY" w:bidi="ar-SA"/>
        </w:rPr>
        <w:t xml:space="preserve"> </w:t>
      </w:r>
      <w:r w:rsidRPr="0030175F">
        <w:rPr>
          <w:rFonts w:ascii="Times New Roman" w:eastAsia="MS Mincho" w:hAnsi="Times New Roman" w:cs="Arial"/>
          <w:bCs/>
          <w:iCs/>
          <w:sz w:val="20"/>
          <w:szCs w:val="20"/>
          <w:lang w:bidi="ar-SA"/>
        </w:rPr>
        <w:t xml:space="preserve">with large ionic areas [69]. Moreover, the range of </w:t>
      </w:r>
      <w:r w:rsidRPr="0030175F">
        <w:rPr>
          <w:rFonts w:ascii="Times New Roman" w:eastAsia="MS Mincho" w:hAnsi="Times New Roman" w:cs="Arial"/>
          <w:bCs/>
          <w:iCs/>
          <w:sz w:val="20"/>
          <w:szCs w:val="20"/>
          <w:lang w:val="en-MY" w:bidi="ar-SA"/>
        </w:rPr>
        <w:t xml:space="preserve">the </w:t>
      </w:r>
      <w:r w:rsidRPr="0030175F">
        <w:rPr>
          <w:rFonts w:ascii="Times New Roman" w:eastAsia="MS Mincho" w:hAnsi="Times New Roman" w:cs="Arial"/>
          <w:bCs/>
          <w:iCs/>
          <w:sz w:val="20"/>
          <w:szCs w:val="20"/>
          <w:lang w:bidi="ar-SA"/>
        </w:rPr>
        <w:t>Pb(II) ions separation factor</w:t>
      </w:r>
      <w:r w:rsidRPr="0030175F">
        <w:rPr>
          <w:rFonts w:ascii="Times New Roman" w:eastAsia="MS Mincho" w:hAnsi="Times New Roman" w:cs="Arial"/>
          <w:bCs/>
          <w:iCs/>
          <w:sz w:val="20"/>
          <w:szCs w:val="20"/>
          <w:lang w:val="en-MY" w:bidi="ar-SA"/>
        </w:rPr>
        <w:t>,</w:t>
      </w:r>
      <w:r w:rsidRPr="0030175F">
        <w:rPr>
          <w:rFonts w:ascii="Times New Roman" w:eastAsia="MS Mincho" w:hAnsi="Times New Roman" w:cs="Arial"/>
          <w:bCs/>
          <w:iCs/>
          <w:sz w:val="20"/>
          <w:szCs w:val="20"/>
          <w:lang w:bidi="ar-SA"/>
        </w:rPr>
        <w:t xml:space="preserve"> R</w:t>
      </w:r>
      <w:r w:rsidRPr="0030175F">
        <w:rPr>
          <w:rFonts w:ascii="Times New Roman" w:eastAsia="MS Mincho" w:hAnsi="Times New Roman" w:cs="Arial"/>
          <w:bCs/>
          <w:iCs/>
          <w:sz w:val="20"/>
          <w:szCs w:val="20"/>
          <w:vertAlign w:val="subscript"/>
          <w:lang w:bidi="ar-SA"/>
        </w:rPr>
        <w:t xml:space="preserve">L </w:t>
      </w:r>
      <w:r w:rsidRPr="0030175F">
        <w:rPr>
          <w:rFonts w:ascii="Times New Roman" w:eastAsia="MS Mincho" w:hAnsi="Times New Roman" w:cs="Arial"/>
          <w:bCs/>
          <w:iCs/>
          <w:sz w:val="20"/>
          <w:szCs w:val="20"/>
          <w:lang w:bidi="ar-SA"/>
        </w:rPr>
        <w:t>= 0.2789, f</w:t>
      </w:r>
      <w:r w:rsidRPr="0030175F">
        <w:rPr>
          <w:rFonts w:ascii="Times New Roman" w:eastAsia="MS Mincho" w:hAnsi="Times New Roman" w:cs="Arial"/>
          <w:bCs/>
          <w:iCs/>
          <w:sz w:val="20"/>
          <w:szCs w:val="20"/>
          <w:lang w:val="en-MY" w:bidi="ar-SA"/>
        </w:rPr>
        <w:t>ell</w:t>
      </w:r>
      <w:r w:rsidRPr="0030175F">
        <w:rPr>
          <w:rFonts w:ascii="Times New Roman" w:eastAsia="MS Mincho" w:hAnsi="Times New Roman" w:cs="Arial"/>
          <w:bCs/>
          <w:iCs/>
          <w:sz w:val="20"/>
          <w:szCs w:val="20"/>
          <w:lang w:bidi="ar-SA"/>
        </w:rPr>
        <w:t xml:space="preserve"> between 0 and 1 (0 </w:t>
      </w:r>
      <w:r w:rsidRPr="0030175F">
        <w:rPr>
          <w:rFonts w:ascii="Times New Roman" w:eastAsia="MS Mincho" w:hAnsi="Times New Roman"/>
          <w:bCs/>
          <w:iCs/>
          <w:sz w:val="20"/>
          <w:szCs w:val="20"/>
          <w:lang w:bidi="ar-SA"/>
        </w:rPr>
        <w:t xml:space="preserve">&lt; </w:t>
      </w:r>
      <w:r w:rsidRPr="0030175F">
        <w:rPr>
          <w:rFonts w:ascii="Times New Roman" w:eastAsia="MS Mincho" w:hAnsi="Times New Roman" w:cs="Arial"/>
          <w:bCs/>
          <w:iCs/>
          <w:sz w:val="20"/>
          <w:szCs w:val="20"/>
          <w:lang w:bidi="ar-SA"/>
        </w:rPr>
        <w:t>R</w:t>
      </w:r>
      <w:r w:rsidRPr="0030175F">
        <w:rPr>
          <w:rFonts w:ascii="Times New Roman" w:eastAsia="MS Mincho" w:hAnsi="Times New Roman" w:cs="Arial"/>
          <w:bCs/>
          <w:iCs/>
          <w:sz w:val="20"/>
          <w:szCs w:val="20"/>
          <w:vertAlign w:val="subscript"/>
          <w:lang w:bidi="ar-SA"/>
        </w:rPr>
        <w:t>L</w:t>
      </w:r>
      <w:r w:rsidRPr="0030175F">
        <w:rPr>
          <w:rFonts w:ascii="Times New Roman" w:eastAsia="MS Mincho" w:hAnsi="Times New Roman"/>
          <w:bCs/>
          <w:iCs/>
          <w:sz w:val="20"/>
          <w:szCs w:val="20"/>
          <w:lang w:bidi="ar-SA"/>
        </w:rPr>
        <w:t xml:space="preserve">&lt; </w:t>
      </w:r>
      <w:r w:rsidRPr="0030175F">
        <w:rPr>
          <w:rFonts w:ascii="Times New Roman" w:eastAsia="MS Mincho" w:hAnsi="Times New Roman" w:cs="Arial"/>
          <w:bCs/>
          <w:iCs/>
          <w:sz w:val="20"/>
          <w:szCs w:val="20"/>
          <w:lang w:bidi="ar-SA"/>
        </w:rPr>
        <w:t>1)</w:t>
      </w:r>
      <w:r w:rsidRPr="0030175F">
        <w:rPr>
          <w:rFonts w:ascii="Times New Roman" w:eastAsia="MS Mincho" w:hAnsi="Times New Roman" w:cs="Arial"/>
          <w:bCs/>
          <w:iCs/>
          <w:sz w:val="20"/>
          <w:szCs w:val="20"/>
          <w:lang w:val="en-MY" w:bidi="ar-SA"/>
        </w:rPr>
        <w:t>,</w:t>
      </w:r>
      <w:r w:rsidRPr="0030175F">
        <w:rPr>
          <w:rFonts w:ascii="Times New Roman" w:eastAsia="MS Mincho" w:hAnsi="Times New Roman" w:cs="Arial"/>
          <w:bCs/>
          <w:iCs/>
          <w:sz w:val="20"/>
          <w:szCs w:val="20"/>
          <w:lang w:bidi="ar-SA"/>
        </w:rPr>
        <w:t xml:space="preserve"> implying that Pb(II) adsorption is favo</w:t>
      </w:r>
      <w:r w:rsidRPr="0030175F">
        <w:rPr>
          <w:rFonts w:ascii="Times New Roman" w:eastAsia="MS Mincho" w:hAnsi="Times New Roman" w:cs="Arial"/>
          <w:bCs/>
          <w:iCs/>
          <w:sz w:val="20"/>
          <w:szCs w:val="20"/>
          <w:lang w:val="en-MY" w:bidi="ar-SA"/>
        </w:rPr>
        <w:t>u</w:t>
      </w:r>
      <w:r w:rsidRPr="0030175F">
        <w:rPr>
          <w:rFonts w:ascii="Times New Roman" w:eastAsia="MS Mincho" w:hAnsi="Times New Roman" w:cs="Arial"/>
          <w:bCs/>
          <w:iCs/>
          <w:sz w:val="20"/>
          <w:szCs w:val="20"/>
          <w:lang w:bidi="ar-SA"/>
        </w:rPr>
        <w:t xml:space="preserve">rable at all </w:t>
      </w:r>
      <w:r w:rsidRPr="0030175F">
        <w:rPr>
          <w:rFonts w:ascii="Times New Roman" w:eastAsia="MS Mincho" w:hAnsi="Times New Roman" w:cs="Arial"/>
          <w:bCs/>
          <w:iCs/>
          <w:sz w:val="20"/>
          <w:szCs w:val="20"/>
          <w:lang w:val="en-MY" w:bidi="ar-SA"/>
        </w:rPr>
        <w:t xml:space="preserve">the </w:t>
      </w:r>
      <w:r w:rsidRPr="0030175F">
        <w:rPr>
          <w:rFonts w:ascii="Times New Roman" w:eastAsia="MS Mincho" w:hAnsi="Times New Roman" w:cs="Arial"/>
          <w:bCs/>
          <w:iCs/>
          <w:sz w:val="20"/>
          <w:szCs w:val="20"/>
          <w:lang w:bidi="ar-SA"/>
        </w:rPr>
        <w:t>concentrations studied [70].</w:t>
      </w:r>
    </w:p>
    <w:p w14:paraId="720DE7A9" w14:textId="77777777" w:rsidR="00D20A85" w:rsidRPr="0030175F" w:rsidRDefault="00D20A85" w:rsidP="00D20A85">
      <w:pPr>
        <w:tabs>
          <w:tab w:val="left" w:pos="2070"/>
        </w:tabs>
        <w:autoSpaceDE w:val="0"/>
        <w:autoSpaceDN w:val="0"/>
        <w:adjustRightInd w:val="0"/>
        <w:spacing w:after="0"/>
        <w:jc w:val="both"/>
        <w:rPr>
          <w:rFonts w:ascii="Times New Roman" w:eastAsia="MS Mincho" w:hAnsi="Times New Roman" w:cs="Arial"/>
          <w:bCs/>
          <w:iCs/>
          <w:sz w:val="20"/>
          <w:szCs w:val="20"/>
          <w:lang w:bidi="ar-SA"/>
        </w:rPr>
      </w:pPr>
    </w:p>
    <w:p w14:paraId="1A7D4139" w14:textId="77777777" w:rsidR="00D20A85" w:rsidRDefault="00D20A85" w:rsidP="00D20A85">
      <w:pPr>
        <w:tabs>
          <w:tab w:val="left" w:pos="2070"/>
        </w:tabs>
        <w:autoSpaceDE w:val="0"/>
        <w:autoSpaceDN w:val="0"/>
        <w:adjustRightInd w:val="0"/>
        <w:spacing w:after="0"/>
        <w:jc w:val="both"/>
        <w:rPr>
          <w:rFonts w:ascii="Times New Roman" w:eastAsia="MS Mincho" w:hAnsi="Times New Roman" w:cs="Arial"/>
          <w:bCs/>
          <w:iCs/>
          <w:sz w:val="20"/>
          <w:szCs w:val="20"/>
          <w:lang w:bidi="ar-SA"/>
        </w:rPr>
      </w:pPr>
      <w:r w:rsidRPr="0030175F">
        <w:rPr>
          <w:rFonts w:ascii="Times New Roman" w:eastAsia="MS Mincho" w:hAnsi="Times New Roman" w:cs="Arial"/>
          <w:bCs/>
          <w:iCs/>
          <w:sz w:val="20"/>
          <w:szCs w:val="20"/>
          <w:lang w:bidi="ar-SA"/>
        </w:rPr>
        <w:t>The slopes and intercepts from the linear graphs (Figures 6 and 7) were used to compute the Langmuir and Freundlich isotherm constants, and the results are summar</w:t>
      </w:r>
      <w:r w:rsidRPr="0030175F">
        <w:rPr>
          <w:rFonts w:ascii="Times New Roman" w:eastAsia="MS Mincho" w:hAnsi="Times New Roman" w:cs="Arial"/>
          <w:bCs/>
          <w:iCs/>
          <w:sz w:val="20"/>
          <w:szCs w:val="20"/>
          <w:lang w:val="en-MY" w:bidi="ar-SA"/>
        </w:rPr>
        <w:t>is</w:t>
      </w:r>
      <w:r w:rsidRPr="0030175F">
        <w:rPr>
          <w:rFonts w:ascii="Times New Roman" w:eastAsia="MS Mincho" w:hAnsi="Times New Roman" w:cs="Arial"/>
          <w:bCs/>
          <w:iCs/>
          <w:sz w:val="20"/>
          <w:szCs w:val="20"/>
          <w:lang w:bidi="ar-SA"/>
        </w:rPr>
        <w:t>ed in Table 1.</w:t>
      </w:r>
    </w:p>
    <w:p w14:paraId="03BC92D1" w14:textId="77777777" w:rsidR="000522FC" w:rsidRDefault="000522FC" w:rsidP="00D20A85">
      <w:pPr>
        <w:tabs>
          <w:tab w:val="left" w:pos="2070"/>
        </w:tabs>
        <w:autoSpaceDE w:val="0"/>
        <w:autoSpaceDN w:val="0"/>
        <w:adjustRightInd w:val="0"/>
        <w:spacing w:after="0"/>
        <w:jc w:val="both"/>
        <w:rPr>
          <w:rFonts w:ascii="Times New Roman" w:eastAsia="MS Mincho" w:hAnsi="Times New Roman" w:cs="Arial"/>
          <w:bCs/>
          <w:iCs/>
          <w:sz w:val="20"/>
          <w:szCs w:val="20"/>
          <w:lang w:bidi="ar-SA"/>
        </w:rPr>
      </w:pPr>
    </w:p>
    <w:p w14:paraId="7459152B" w14:textId="77777777" w:rsidR="0012339D" w:rsidRDefault="0012339D" w:rsidP="0012339D">
      <w:pPr>
        <w:tabs>
          <w:tab w:val="left" w:pos="2070"/>
        </w:tabs>
        <w:autoSpaceDE w:val="0"/>
        <w:autoSpaceDN w:val="0"/>
        <w:adjustRightInd w:val="0"/>
        <w:spacing w:after="0"/>
        <w:jc w:val="both"/>
        <w:rPr>
          <w:rFonts w:ascii="Times New Roman" w:eastAsia="MS Mincho" w:hAnsi="Times New Roman" w:cs="Arial"/>
          <w:bCs/>
          <w:i/>
          <w:sz w:val="20"/>
          <w:szCs w:val="20"/>
          <w:lang w:bidi="ar-SA"/>
        </w:rPr>
      </w:pPr>
      <w:r w:rsidRPr="0028686E">
        <w:rPr>
          <w:rFonts w:ascii="Times New Roman" w:eastAsia="MS Mincho" w:hAnsi="Times New Roman" w:cs="Arial"/>
          <w:bCs/>
          <w:iCs/>
          <w:sz w:val="20"/>
          <w:szCs w:val="20"/>
          <w:lang w:bidi="ar-SA"/>
        </w:rPr>
        <w:t xml:space="preserve">The magnitude of the Freundlich constant </w:t>
      </w:r>
      <w:r w:rsidRPr="0028686E">
        <w:rPr>
          <w:rFonts w:ascii="Times New Roman" w:eastAsia="MS Mincho" w:hAnsi="Times New Roman" w:cs="Arial"/>
          <w:bCs/>
          <w:i/>
          <w:sz w:val="20"/>
          <w:szCs w:val="20"/>
          <w:lang w:bidi="ar-SA"/>
        </w:rPr>
        <w:t>K</w:t>
      </w:r>
      <w:r w:rsidRPr="0028686E">
        <w:rPr>
          <w:rFonts w:ascii="Times New Roman" w:eastAsia="MS Mincho" w:hAnsi="Times New Roman" w:cs="Arial"/>
          <w:bCs/>
          <w:iCs/>
          <w:sz w:val="20"/>
          <w:szCs w:val="20"/>
          <w:lang w:bidi="ar-SA"/>
        </w:rPr>
        <w:t xml:space="preserve"> suggests the high adsorption capacity of Pb(II) ions on </w:t>
      </w:r>
      <w:r w:rsidRPr="0028686E">
        <w:rPr>
          <w:rFonts w:ascii="Times New Roman" w:eastAsia="Calibri" w:hAnsi="Times New Roman"/>
          <w:i/>
          <w:sz w:val="20"/>
          <w:szCs w:val="20"/>
          <w:lang w:eastAsia="ja-JP" w:bidi="ar-SA"/>
        </w:rPr>
        <w:t>E.</w:t>
      </w:r>
      <w:r w:rsidRPr="0028686E">
        <w:rPr>
          <w:rFonts w:ascii="Times New Roman" w:eastAsia="Calibri" w:hAnsi="Times New Roman"/>
          <w:b/>
          <w:bCs/>
          <w:i/>
          <w:sz w:val="20"/>
          <w:szCs w:val="20"/>
          <w:lang w:eastAsia="ja-JP" w:bidi="ar-SA"/>
        </w:rPr>
        <w:t xml:space="preserve"> </w:t>
      </w:r>
      <w:r w:rsidRPr="0028686E">
        <w:rPr>
          <w:rFonts w:ascii="Times New Roman" w:eastAsia="Calibri" w:hAnsi="Times New Roman"/>
          <w:i/>
          <w:sz w:val="20"/>
          <w:szCs w:val="20"/>
          <w:lang w:eastAsia="ja-JP" w:bidi="ar-SA"/>
        </w:rPr>
        <w:t>denticulatum</w:t>
      </w:r>
      <w:r w:rsidRPr="0028686E">
        <w:rPr>
          <w:rFonts w:ascii="Times New Roman" w:eastAsia="Calibri" w:hAnsi="Times New Roman"/>
          <w:b/>
          <w:bCs/>
          <w:i/>
          <w:sz w:val="20"/>
          <w:szCs w:val="20"/>
          <w:lang w:eastAsia="ja-JP" w:bidi="ar-SA"/>
        </w:rPr>
        <w:t>.</w:t>
      </w:r>
      <w:r w:rsidRPr="0028686E">
        <w:rPr>
          <w:rFonts w:ascii="Times New Roman" w:eastAsia="MS Mincho" w:hAnsi="Times New Roman" w:cs="Arial"/>
          <w:bCs/>
          <w:iCs/>
          <w:sz w:val="20"/>
          <w:szCs w:val="20"/>
          <w:lang w:bidi="ar-SA"/>
        </w:rPr>
        <w:t xml:space="preserve"> The value of n = 1.67 (n </w:t>
      </w:r>
      <w:r w:rsidRPr="0028686E">
        <w:rPr>
          <w:rFonts w:ascii="Times New Roman" w:eastAsia="MS Mincho" w:hAnsi="Times New Roman"/>
          <w:bCs/>
          <w:iCs/>
          <w:sz w:val="20"/>
          <w:szCs w:val="20"/>
          <w:lang w:bidi="ar-SA"/>
        </w:rPr>
        <w:t>&gt;</w:t>
      </w:r>
      <w:r w:rsidRPr="0028686E">
        <w:rPr>
          <w:rFonts w:ascii="Times New Roman" w:eastAsia="MS Mincho" w:hAnsi="Times New Roman" w:cs="Arial"/>
          <w:bCs/>
          <w:iCs/>
          <w:sz w:val="20"/>
          <w:szCs w:val="20"/>
          <w:lang w:bidi="ar-SA"/>
        </w:rPr>
        <w:t xml:space="preserve"> 1) </w:t>
      </w:r>
      <w:r w:rsidRPr="0028686E">
        <w:rPr>
          <w:rFonts w:ascii="Times New Roman" w:eastAsia="MS Mincho" w:hAnsi="Times New Roman" w:cs="Arial"/>
          <w:bCs/>
          <w:iCs/>
          <w:sz w:val="20"/>
          <w:szCs w:val="20"/>
          <w:lang w:val="en-MY" w:bidi="ar-SA"/>
        </w:rPr>
        <w:t xml:space="preserve">indicates </w:t>
      </w:r>
      <w:r w:rsidRPr="0028686E">
        <w:rPr>
          <w:rFonts w:ascii="Times New Roman" w:eastAsia="MS Mincho" w:hAnsi="Times New Roman" w:cs="Arial"/>
          <w:bCs/>
          <w:iCs/>
          <w:sz w:val="20"/>
          <w:szCs w:val="20"/>
          <w:lang w:bidi="ar-SA"/>
        </w:rPr>
        <w:t xml:space="preserve">that under the given experimental conditions, the heterogeneity of the biomass surface and the metal ions </w:t>
      </w:r>
      <w:r w:rsidRPr="0028686E">
        <w:rPr>
          <w:rFonts w:ascii="Times New Roman" w:eastAsia="MS Mincho" w:hAnsi="Times New Roman" w:cs="Arial"/>
          <w:bCs/>
          <w:iCs/>
          <w:sz w:val="20"/>
          <w:szCs w:val="20"/>
          <w:lang w:val="en-MY" w:bidi="ar-SA"/>
        </w:rPr>
        <w:t>we</w:t>
      </w:r>
      <w:r w:rsidRPr="0028686E">
        <w:rPr>
          <w:rFonts w:ascii="Times New Roman" w:eastAsia="MS Mincho" w:hAnsi="Times New Roman" w:cs="Arial"/>
          <w:bCs/>
          <w:iCs/>
          <w:sz w:val="20"/>
          <w:szCs w:val="20"/>
          <w:lang w:bidi="ar-SA"/>
        </w:rPr>
        <w:t xml:space="preserve">re adequately and intensively adsorbed by </w:t>
      </w:r>
      <w:r w:rsidRPr="0028686E">
        <w:rPr>
          <w:rFonts w:ascii="Times New Roman" w:eastAsia="MS Mincho" w:hAnsi="Times New Roman" w:cs="Arial"/>
          <w:bCs/>
          <w:iCs/>
          <w:sz w:val="20"/>
          <w:szCs w:val="20"/>
          <w:lang w:val="en-MY" w:bidi="ar-SA"/>
        </w:rPr>
        <w:t xml:space="preserve">the </w:t>
      </w:r>
      <w:r w:rsidRPr="0028686E">
        <w:rPr>
          <w:rFonts w:ascii="Times New Roman" w:eastAsia="MS Mincho" w:hAnsi="Times New Roman" w:cs="Arial"/>
          <w:bCs/>
          <w:iCs/>
          <w:sz w:val="20"/>
          <w:szCs w:val="20"/>
          <w:lang w:bidi="ar-SA"/>
        </w:rPr>
        <w:t xml:space="preserve">dried seaweed </w:t>
      </w:r>
      <w:r w:rsidRPr="0028686E">
        <w:rPr>
          <w:rFonts w:ascii="Times New Roman" w:eastAsia="MS Mincho" w:hAnsi="Times New Roman" w:cs="Arial"/>
          <w:bCs/>
          <w:i/>
          <w:sz w:val="20"/>
          <w:szCs w:val="20"/>
          <w:lang w:bidi="ar-SA"/>
        </w:rPr>
        <w:t xml:space="preserve">E. denticulatum. </w:t>
      </w:r>
    </w:p>
    <w:p w14:paraId="188E0A22" w14:textId="77777777" w:rsidR="0012339D" w:rsidRPr="0028686E" w:rsidRDefault="0012339D" w:rsidP="0012339D">
      <w:pPr>
        <w:tabs>
          <w:tab w:val="left" w:pos="2070"/>
        </w:tabs>
        <w:autoSpaceDE w:val="0"/>
        <w:autoSpaceDN w:val="0"/>
        <w:adjustRightInd w:val="0"/>
        <w:spacing w:after="0"/>
        <w:jc w:val="both"/>
        <w:rPr>
          <w:rFonts w:ascii="Times New Roman" w:eastAsia="MS Mincho" w:hAnsi="Times New Roman" w:cs="Arial"/>
          <w:bCs/>
          <w:i/>
          <w:sz w:val="20"/>
          <w:szCs w:val="20"/>
          <w:lang w:bidi="ar-SA"/>
        </w:rPr>
      </w:pPr>
    </w:p>
    <w:p w14:paraId="5B0A4068" w14:textId="77777777" w:rsidR="00D20A85" w:rsidRDefault="00D20A85" w:rsidP="00D20A85">
      <w:pPr>
        <w:spacing w:after="0"/>
        <w:rPr>
          <w:rFonts w:ascii="Times New Roman" w:hAnsi="Times New Roman"/>
          <w:noProof/>
          <w:sz w:val="20"/>
          <w:szCs w:val="20"/>
          <w:lang w:bidi="ar-SA"/>
        </w:rPr>
        <w:sectPr w:rsidR="00D20A85" w:rsidSect="0028686E">
          <w:type w:val="continuous"/>
          <w:pgSz w:w="12240" w:h="15840" w:code="1"/>
          <w:pgMar w:top="1800" w:right="1469" w:bottom="1699" w:left="1440" w:header="706" w:footer="706" w:gutter="0"/>
          <w:pgNumType w:start="1"/>
          <w:cols w:num="2" w:space="403"/>
          <w:docGrid w:linePitch="360"/>
        </w:sectPr>
      </w:pPr>
    </w:p>
    <w:p w14:paraId="4966321E" w14:textId="7AAAB6B5" w:rsidR="005A3A67" w:rsidRDefault="005A3A67" w:rsidP="00D20A85">
      <w:pPr>
        <w:tabs>
          <w:tab w:val="left" w:pos="2070"/>
        </w:tabs>
        <w:autoSpaceDE w:val="0"/>
        <w:autoSpaceDN w:val="0"/>
        <w:adjustRightInd w:val="0"/>
        <w:spacing w:after="0"/>
        <w:jc w:val="both"/>
        <w:rPr>
          <w:rFonts w:ascii="Times New Roman" w:eastAsia="MS Mincho" w:hAnsi="Times New Roman" w:cs="Arial"/>
          <w:bCs/>
          <w:sz w:val="20"/>
          <w:szCs w:val="20"/>
          <w:lang w:bidi="ar-SA"/>
        </w:rPr>
      </w:pPr>
    </w:p>
    <w:p w14:paraId="0230496D" w14:textId="77777777" w:rsidR="00A70344" w:rsidRDefault="00A70344" w:rsidP="00D20A85">
      <w:pPr>
        <w:tabs>
          <w:tab w:val="left" w:pos="2070"/>
        </w:tabs>
        <w:autoSpaceDE w:val="0"/>
        <w:autoSpaceDN w:val="0"/>
        <w:adjustRightInd w:val="0"/>
        <w:spacing w:after="0"/>
        <w:jc w:val="both"/>
        <w:rPr>
          <w:rFonts w:ascii="Times New Roman" w:eastAsia="MS Mincho" w:hAnsi="Times New Roman" w:cs="Arial"/>
          <w:bCs/>
          <w:sz w:val="20"/>
          <w:szCs w:val="20"/>
          <w:lang w:bidi="ar-SA"/>
        </w:rPr>
      </w:pPr>
    </w:p>
    <w:p w14:paraId="68B57B69" w14:textId="0284FC4B" w:rsidR="005A3A67" w:rsidRDefault="00A3773C" w:rsidP="00A3773C">
      <w:pPr>
        <w:tabs>
          <w:tab w:val="left" w:pos="2070"/>
        </w:tabs>
        <w:autoSpaceDE w:val="0"/>
        <w:autoSpaceDN w:val="0"/>
        <w:adjustRightInd w:val="0"/>
        <w:spacing w:after="120"/>
        <w:jc w:val="center"/>
        <w:rPr>
          <w:rFonts w:ascii="Times New Roman" w:eastAsia="MS Mincho" w:hAnsi="Times New Roman" w:cs="Arial"/>
          <w:bCs/>
          <w:sz w:val="20"/>
          <w:szCs w:val="20"/>
          <w:lang w:bidi="ar-SA"/>
        </w:rPr>
      </w:pPr>
      <w:r>
        <w:rPr>
          <w:noProof/>
        </w:rPr>
        <w:drawing>
          <wp:inline distT="0" distB="0" distL="0" distR="0" wp14:anchorId="648ED7B3" wp14:editId="17DCEED1">
            <wp:extent cx="3787140" cy="2026920"/>
            <wp:effectExtent l="0" t="0" r="381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B06C49" w14:textId="72E4A176" w:rsidR="00A3773C" w:rsidRPr="008626C0" w:rsidRDefault="00A3773C" w:rsidP="00A3773C">
      <w:pPr>
        <w:tabs>
          <w:tab w:val="left" w:pos="2070"/>
        </w:tabs>
        <w:autoSpaceDE w:val="0"/>
        <w:autoSpaceDN w:val="0"/>
        <w:adjustRightInd w:val="0"/>
        <w:spacing w:after="0"/>
        <w:ind w:left="1710" w:hanging="1710"/>
        <w:jc w:val="center"/>
        <w:rPr>
          <w:rFonts w:ascii="Times New Roman" w:eastAsia="MS Mincho" w:hAnsi="Times New Roman"/>
          <w:i/>
          <w:sz w:val="20"/>
          <w:szCs w:val="20"/>
          <w:lang w:val="en-MY" w:bidi="ar-SA"/>
        </w:rPr>
      </w:pPr>
      <w:r w:rsidRPr="008626C0">
        <w:rPr>
          <w:rFonts w:ascii="Times New Roman" w:eastAsia="MS Mincho" w:hAnsi="Times New Roman"/>
          <w:bCs/>
          <w:sz w:val="20"/>
          <w:szCs w:val="20"/>
          <w:lang w:bidi="ar-SA"/>
        </w:rPr>
        <w:t>Figure 6.</w:t>
      </w:r>
      <w:r w:rsidRPr="008626C0">
        <w:rPr>
          <w:rFonts w:ascii="Times New Roman" w:eastAsia="MS Mincho" w:hAnsi="Times New Roman"/>
          <w:b/>
          <w:sz w:val="20"/>
          <w:szCs w:val="20"/>
          <w:lang w:bidi="ar-SA"/>
        </w:rPr>
        <w:t xml:space="preserve"> </w:t>
      </w:r>
      <w:r>
        <w:rPr>
          <w:rFonts w:ascii="Times New Roman" w:eastAsia="MS Mincho" w:hAnsi="Times New Roman"/>
          <w:b/>
          <w:sz w:val="20"/>
          <w:szCs w:val="20"/>
          <w:lang w:bidi="ar-SA"/>
        </w:rPr>
        <w:t xml:space="preserve"> </w:t>
      </w:r>
      <w:r w:rsidRPr="008626C0">
        <w:rPr>
          <w:rFonts w:ascii="Times New Roman" w:eastAsia="MS Mincho" w:hAnsi="Times New Roman"/>
          <w:iCs/>
          <w:sz w:val="20"/>
          <w:szCs w:val="20"/>
          <w:lang w:bidi="ar-SA"/>
        </w:rPr>
        <w:t xml:space="preserve">Langmuir isotherm for Pb (II) biosorption by </w:t>
      </w:r>
      <w:r w:rsidRPr="008626C0">
        <w:rPr>
          <w:rFonts w:ascii="Times New Roman" w:eastAsia="MS Mincho" w:hAnsi="Times New Roman"/>
          <w:i/>
          <w:sz w:val="20"/>
          <w:szCs w:val="20"/>
          <w:lang w:bidi="ar-SA"/>
        </w:rPr>
        <w:t>E. denticulatum</w:t>
      </w:r>
    </w:p>
    <w:p w14:paraId="42CF712F" w14:textId="77777777" w:rsidR="00A3773C" w:rsidRDefault="00A3773C" w:rsidP="00A3773C">
      <w:pPr>
        <w:tabs>
          <w:tab w:val="left" w:pos="2070"/>
        </w:tabs>
        <w:autoSpaceDE w:val="0"/>
        <w:autoSpaceDN w:val="0"/>
        <w:adjustRightInd w:val="0"/>
        <w:spacing w:after="120"/>
        <w:jc w:val="center"/>
        <w:rPr>
          <w:rFonts w:ascii="Times New Roman" w:eastAsia="MS Mincho" w:hAnsi="Times New Roman" w:cs="Arial"/>
          <w:bCs/>
          <w:sz w:val="20"/>
          <w:szCs w:val="20"/>
          <w:lang w:bidi="ar-SA"/>
        </w:rPr>
      </w:pPr>
    </w:p>
    <w:p w14:paraId="2FA8080A"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00815AB8"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003C9B27"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4512B768"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169B6208" w14:textId="77777777" w:rsidR="005A3A67" w:rsidRDefault="005A3A67" w:rsidP="007755A7">
      <w:pPr>
        <w:tabs>
          <w:tab w:val="left" w:pos="2070"/>
        </w:tabs>
        <w:autoSpaceDE w:val="0"/>
        <w:autoSpaceDN w:val="0"/>
        <w:adjustRightInd w:val="0"/>
        <w:spacing w:after="0"/>
        <w:rPr>
          <w:rFonts w:ascii="Times New Roman" w:eastAsia="MS Mincho" w:hAnsi="Times New Roman" w:cs="Arial"/>
          <w:bCs/>
          <w:sz w:val="20"/>
          <w:szCs w:val="20"/>
          <w:lang w:bidi="ar-SA"/>
        </w:rPr>
      </w:pPr>
    </w:p>
    <w:p w14:paraId="157AB7B5"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618D7C84" w14:textId="557FB2D9" w:rsidR="005A3A67" w:rsidRDefault="00A3773C" w:rsidP="00A3773C">
      <w:pPr>
        <w:tabs>
          <w:tab w:val="left" w:pos="2070"/>
        </w:tabs>
        <w:autoSpaceDE w:val="0"/>
        <w:autoSpaceDN w:val="0"/>
        <w:adjustRightInd w:val="0"/>
        <w:spacing w:after="120"/>
        <w:jc w:val="center"/>
        <w:rPr>
          <w:rFonts w:ascii="Times New Roman" w:eastAsia="MS Mincho" w:hAnsi="Times New Roman" w:cs="Arial"/>
          <w:bCs/>
          <w:sz w:val="20"/>
          <w:szCs w:val="20"/>
          <w:lang w:bidi="ar-SA"/>
        </w:rPr>
      </w:pPr>
      <w:r>
        <w:rPr>
          <w:noProof/>
        </w:rPr>
        <w:drawing>
          <wp:inline distT="0" distB="0" distL="0" distR="0" wp14:anchorId="62D898BA" wp14:editId="2BE97575">
            <wp:extent cx="3665220" cy="2118360"/>
            <wp:effectExtent l="0" t="0" r="11430" b="152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FD21D9" w14:textId="6795A4EA" w:rsidR="00A3773C" w:rsidRDefault="00A3773C" w:rsidP="00A3773C">
      <w:pPr>
        <w:tabs>
          <w:tab w:val="left" w:pos="2070"/>
        </w:tabs>
        <w:autoSpaceDE w:val="0"/>
        <w:autoSpaceDN w:val="0"/>
        <w:adjustRightInd w:val="0"/>
        <w:spacing w:after="120"/>
        <w:jc w:val="center"/>
        <w:rPr>
          <w:rFonts w:ascii="Times New Roman" w:eastAsia="MS Mincho" w:hAnsi="Times New Roman" w:cs="Arial"/>
          <w:bCs/>
          <w:sz w:val="20"/>
          <w:szCs w:val="20"/>
          <w:lang w:bidi="ar-SA"/>
        </w:rPr>
      </w:pPr>
      <w:r w:rsidRPr="008626C0">
        <w:rPr>
          <w:rFonts w:ascii="Times New Roman" w:eastAsia="MS Mincho" w:hAnsi="Times New Roman" w:cs="Arial"/>
          <w:bCs/>
          <w:sz w:val="20"/>
          <w:szCs w:val="20"/>
          <w:lang w:bidi="ar-SA"/>
        </w:rPr>
        <w:t>Figure 7.</w:t>
      </w:r>
      <w:r w:rsidRPr="008626C0">
        <w:rPr>
          <w:rFonts w:ascii="Times New Roman" w:eastAsia="Calibri" w:hAnsi="Times New Roman"/>
          <w:bCs/>
          <w:iCs/>
          <w:sz w:val="20"/>
          <w:szCs w:val="20"/>
          <w:lang w:eastAsia="ja-JP" w:bidi="ar-SA"/>
        </w:rPr>
        <w:t xml:space="preserve"> </w:t>
      </w:r>
      <w:r>
        <w:rPr>
          <w:rFonts w:ascii="Times New Roman" w:eastAsia="Calibri" w:hAnsi="Times New Roman"/>
          <w:bCs/>
          <w:iCs/>
          <w:sz w:val="20"/>
          <w:szCs w:val="20"/>
          <w:lang w:eastAsia="ja-JP" w:bidi="ar-SA"/>
        </w:rPr>
        <w:t xml:space="preserve"> </w:t>
      </w:r>
      <w:r w:rsidRPr="008626C0">
        <w:rPr>
          <w:rFonts w:ascii="Times New Roman" w:eastAsia="Calibri" w:hAnsi="Times New Roman"/>
          <w:bCs/>
          <w:iCs/>
          <w:sz w:val="20"/>
          <w:szCs w:val="20"/>
          <w:lang w:eastAsia="ja-JP" w:bidi="ar-SA"/>
        </w:rPr>
        <w:t>Linear</w:t>
      </w:r>
      <w:r w:rsidRPr="008626C0">
        <w:rPr>
          <w:rFonts w:ascii="Times New Roman" w:eastAsia="Calibri" w:hAnsi="Times New Roman"/>
          <w:bCs/>
          <w:iCs/>
          <w:sz w:val="20"/>
          <w:szCs w:val="20"/>
          <w:lang w:val="en-MY" w:eastAsia="ja-JP" w:bidi="ar-SA"/>
        </w:rPr>
        <w:t>is</w:t>
      </w:r>
      <w:r w:rsidRPr="008626C0">
        <w:rPr>
          <w:rFonts w:ascii="Times New Roman" w:eastAsia="Calibri" w:hAnsi="Times New Roman"/>
          <w:bCs/>
          <w:iCs/>
          <w:sz w:val="20"/>
          <w:szCs w:val="20"/>
          <w:lang w:eastAsia="ja-JP" w:bidi="ar-SA"/>
        </w:rPr>
        <w:t xml:space="preserve">ed Freundlich isotherm for Pb(II) biosorption by </w:t>
      </w:r>
      <w:r w:rsidRPr="008626C0">
        <w:rPr>
          <w:rFonts w:ascii="Times New Roman" w:eastAsia="Calibri" w:hAnsi="Times New Roman"/>
          <w:bCs/>
          <w:i/>
          <w:iCs/>
          <w:sz w:val="20"/>
          <w:szCs w:val="20"/>
          <w:lang w:eastAsia="ja-JP" w:bidi="ar-SA"/>
        </w:rPr>
        <w:t>E. denticulatum</w:t>
      </w:r>
    </w:p>
    <w:p w14:paraId="63621ECE" w14:textId="77777777" w:rsidR="005A3A67" w:rsidRDefault="005A3A67" w:rsidP="005A3A67">
      <w:pPr>
        <w:tabs>
          <w:tab w:val="left" w:pos="2070"/>
        </w:tabs>
        <w:autoSpaceDE w:val="0"/>
        <w:autoSpaceDN w:val="0"/>
        <w:adjustRightInd w:val="0"/>
        <w:spacing w:after="0"/>
        <w:jc w:val="center"/>
        <w:rPr>
          <w:rFonts w:ascii="Times New Roman" w:eastAsia="MS Mincho" w:hAnsi="Times New Roman" w:cs="Arial"/>
          <w:bCs/>
          <w:sz w:val="20"/>
          <w:szCs w:val="20"/>
          <w:lang w:bidi="ar-SA"/>
        </w:rPr>
      </w:pPr>
    </w:p>
    <w:p w14:paraId="02B7ACCD" w14:textId="21440634" w:rsidR="00BD1C5D" w:rsidRDefault="00BD1C5D" w:rsidP="00BD1C5D">
      <w:pPr>
        <w:keepNext/>
        <w:keepLines/>
        <w:spacing w:after="0"/>
        <w:ind w:left="810" w:hanging="810"/>
        <w:jc w:val="center"/>
        <w:outlineLvl w:val="2"/>
        <w:rPr>
          <w:rFonts w:ascii="Times New Roman" w:eastAsia="Calibri" w:hAnsi="Times New Roman"/>
          <w:bCs/>
          <w:iCs/>
          <w:sz w:val="20"/>
          <w:szCs w:val="20"/>
          <w:lang w:eastAsia="ja-JP" w:bidi="ar-SA"/>
        </w:rPr>
      </w:pPr>
      <w:bookmarkStart w:id="37" w:name="_Toc363887669"/>
      <w:bookmarkStart w:id="38" w:name="_Toc364110537"/>
      <w:bookmarkStart w:id="39" w:name="_Toc364107231"/>
      <w:bookmarkStart w:id="40" w:name="_Toc365471823"/>
      <w:bookmarkStart w:id="41" w:name="_Toc362175477"/>
      <w:bookmarkStart w:id="42" w:name="_Toc362176598"/>
      <w:bookmarkStart w:id="43" w:name="_Toc364109786"/>
      <w:bookmarkStart w:id="44" w:name="_Toc365535294"/>
      <w:bookmarkStart w:id="45" w:name="_Hlk94459000"/>
      <w:r w:rsidRPr="008626C0">
        <w:rPr>
          <w:rFonts w:ascii="Times New Roman" w:eastAsia="Calibri" w:hAnsi="Times New Roman"/>
          <w:iCs/>
          <w:sz w:val="20"/>
          <w:szCs w:val="20"/>
          <w:lang w:bidi="ar-SA"/>
        </w:rPr>
        <w:t>Table 1.</w:t>
      </w:r>
      <w:r>
        <w:rPr>
          <w:rFonts w:ascii="Times New Roman" w:eastAsia="Calibri" w:hAnsi="Times New Roman"/>
          <w:b/>
          <w:bCs/>
          <w:iCs/>
          <w:sz w:val="20"/>
          <w:szCs w:val="20"/>
          <w:lang w:bidi="ar-SA"/>
        </w:rPr>
        <w:t xml:space="preserve">  </w:t>
      </w:r>
      <w:r w:rsidRPr="008626C0">
        <w:rPr>
          <w:rFonts w:ascii="Times New Roman" w:eastAsia="Calibri" w:hAnsi="Times New Roman"/>
          <w:bCs/>
          <w:iCs/>
          <w:sz w:val="20"/>
          <w:szCs w:val="20"/>
          <w:lang w:eastAsia="ja-JP" w:bidi="ar-SA"/>
        </w:rPr>
        <w:t xml:space="preserve">The Langmuir and Freundlich parameters and correlation coefficients for the biosorption of Pb (II) </w:t>
      </w:r>
    </w:p>
    <w:p w14:paraId="6BDB1168" w14:textId="5B6CF3B6" w:rsidR="00BD1C5D" w:rsidRPr="008626C0" w:rsidRDefault="00BD1C5D" w:rsidP="00BD1C5D">
      <w:pPr>
        <w:keepNext/>
        <w:keepLines/>
        <w:spacing w:after="120"/>
        <w:ind w:left="806" w:hanging="806"/>
        <w:jc w:val="center"/>
        <w:outlineLvl w:val="2"/>
        <w:rPr>
          <w:rFonts w:ascii="Times New Roman" w:eastAsia="Calibri" w:hAnsi="Times New Roman"/>
          <w:bCs/>
          <w:sz w:val="20"/>
          <w:szCs w:val="20"/>
          <w:lang w:val="en-MY" w:eastAsia="ja-JP" w:bidi="ar-SA"/>
        </w:rPr>
      </w:pPr>
      <w:r w:rsidRPr="008626C0">
        <w:rPr>
          <w:rFonts w:ascii="Times New Roman" w:eastAsia="Calibri" w:hAnsi="Times New Roman"/>
          <w:bCs/>
          <w:iCs/>
          <w:sz w:val="20"/>
          <w:szCs w:val="20"/>
          <w:lang w:eastAsia="ja-JP" w:bidi="ar-SA"/>
        </w:rPr>
        <w:t xml:space="preserve">onto </w:t>
      </w:r>
      <w:bookmarkEnd w:id="37"/>
      <w:bookmarkEnd w:id="38"/>
      <w:bookmarkEnd w:id="39"/>
      <w:bookmarkEnd w:id="40"/>
      <w:bookmarkEnd w:id="41"/>
      <w:bookmarkEnd w:id="42"/>
      <w:bookmarkEnd w:id="43"/>
      <w:bookmarkEnd w:id="44"/>
      <w:r w:rsidRPr="008626C0">
        <w:rPr>
          <w:rFonts w:ascii="Times New Roman" w:eastAsia="Calibri" w:hAnsi="Times New Roman"/>
          <w:i/>
          <w:iCs/>
          <w:sz w:val="20"/>
          <w:szCs w:val="20"/>
          <w:lang w:eastAsia="ja-JP" w:bidi="ar-SA"/>
        </w:rPr>
        <w:t>E.</w:t>
      </w:r>
      <w:r w:rsidRPr="008626C0">
        <w:rPr>
          <w:rFonts w:ascii="Times New Roman" w:eastAsia="Calibri" w:hAnsi="Times New Roman"/>
          <w:bCs/>
          <w:i/>
          <w:iCs/>
          <w:sz w:val="20"/>
          <w:szCs w:val="20"/>
          <w:lang w:eastAsia="ja-JP" w:bidi="ar-SA"/>
        </w:rPr>
        <w:t xml:space="preserve"> denticulatum</w:t>
      </w:r>
    </w:p>
    <w:tbl>
      <w:tblPr>
        <w:tblStyle w:val="GridTable1Light-Accent11"/>
        <w:tblW w:w="751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1168"/>
        <w:gridCol w:w="1100"/>
        <w:gridCol w:w="780"/>
        <w:gridCol w:w="942"/>
        <w:gridCol w:w="836"/>
        <w:gridCol w:w="720"/>
        <w:gridCol w:w="981"/>
      </w:tblGrid>
      <w:tr w:rsidR="00BD1C5D" w:rsidRPr="008626C0" w14:paraId="607E1D42" w14:textId="77777777" w:rsidTr="00BD1C5D">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auto"/>
              <w:bottom w:val="none" w:sz="0" w:space="0" w:color="auto"/>
            </w:tcBorders>
            <w:vAlign w:val="center"/>
          </w:tcPr>
          <w:bookmarkEnd w:id="45"/>
          <w:p w14:paraId="4E37AE9A" w14:textId="77777777" w:rsidR="00BD1C5D" w:rsidRPr="008626C0" w:rsidRDefault="00BD1C5D" w:rsidP="00BD1C5D">
            <w:pPr>
              <w:tabs>
                <w:tab w:val="left" w:pos="2070"/>
              </w:tabs>
              <w:autoSpaceDE w:val="0"/>
              <w:autoSpaceDN w:val="0"/>
              <w:adjustRightInd w:val="0"/>
              <w:spacing w:before="120" w:after="0" w:line="240" w:lineRule="auto"/>
              <w:jc w:val="center"/>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Metal</w:t>
            </w:r>
          </w:p>
        </w:tc>
        <w:tc>
          <w:tcPr>
            <w:tcW w:w="3048" w:type="dxa"/>
            <w:gridSpan w:val="3"/>
            <w:tcBorders>
              <w:top w:val="single" w:sz="4" w:space="0" w:color="auto"/>
              <w:bottom w:val="single" w:sz="4" w:space="0" w:color="auto"/>
            </w:tcBorders>
            <w:vAlign w:val="center"/>
          </w:tcPr>
          <w:p w14:paraId="49323278" w14:textId="77777777" w:rsidR="00BD1C5D" w:rsidRPr="008626C0" w:rsidRDefault="00BD1C5D" w:rsidP="00BD1C5D">
            <w:pPr>
              <w:tabs>
                <w:tab w:val="left" w:pos="2070"/>
              </w:tabs>
              <w:autoSpaceDE w:val="0"/>
              <w:autoSpaceDN w:val="0"/>
              <w:adjustRightInd w:val="0"/>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Langmuir Isotherm Parameters</w:t>
            </w:r>
          </w:p>
        </w:tc>
        <w:tc>
          <w:tcPr>
            <w:tcW w:w="3479" w:type="dxa"/>
            <w:gridSpan w:val="4"/>
            <w:tcBorders>
              <w:top w:val="single" w:sz="4" w:space="0" w:color="auto"/>
              <w:bottom w:val="single" w:sz="4" w:space="0" w:color="auto"/>
            </w:tcBorders>
            <w:vAlign w:val="center"/>
          </w:tcPr>
          <w:p w14:paraId="25C70E58" w14:textId="77777777" w:rsidR="00BD1C5D" w:rsidRPr="008626C0" w:rsidRDefault="00BD1C5D" w:rsidP="00BD1C5D">
            <w:pPr>
              <w:tabs>
                <w:tab w:val="left" w:pos="2070"/>
              </w:tabs>
              <w:autoSpaceDE w:val="0"/>
              <w:autoSpaceDN w:val="0"/>
              <w:adjustRightInd w:val="0"/>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Freundlich Isotherm Parameters</w:t>
            </w:r>
          </w:p>
        </w:tc>
      </w:tr>
      <w:tr w:rsidR="00BD1C5D" w:rsidRPr="008626C0" w14:paraId="3B8A9C96" w14:textId="77777777" w:rsidTr="00BD1C5D">
        <w:trPr>
          <w:trHeight w:val="70"/>
        </w:trPr>
        <w:tc>
          <w:tcPr>
            <w:cnfStyle w:val="001000000000" w:firstRow="0" w:lastRow="0" w:firstColumn="1" w:lastColumn="0" w:oddVBand="0" w:evenVBand="0" w:oddHBand="0" w:evenHBand="0" w:firstRowFirstColumn="0" w:firstRowLastColumn="0" w:lastRowFirstColumn="0" w:lastRowLastColumn="0"/>
            <w:tcW w:w="992" w:type="dxa"/>
            <w:tcBorders>
              <w:bottom w:val="single" w:sz="4" w:space="0" w:color="auto"/>
            </w:tcBorders>
          </w:tcPr>
          <w:p w14:paraId="61355E44" w14:textId="77777777" w:rsidR="00BD1C5D" w:rsidRPr="008626C0" w:rsidRDefault="00BD1C5D" w:rsidP="00C16B97">
            <w:pPr>
              <w:tabs>
                <w:tab w:val="left" w:pos="2070"/>
              </w:tabs>
              <w:autoSpaceDE w:val="0"/>
              <w:autoSpaceDN w:val="0"/>
              <w:adjustRightInd w:val="0"/>
              <w:spacing w:after="0" w:line="240" w:lineRule="auto"/>
              <w:jc w:val="center"/>
              <w:rPr>
                <w:rFonts w:ascii="Times New Roman" w:eastAsia="MS Mincho" w:hAnsi="Times New Roman"/>
                <w:iCs/>
                <w:sz w:val="20"/>
                <w:szCs w:val="20"/>
                <w:lang w:bidi="ar-SA"/>
              </w:rPr>
            </w:pPr>
          </w:p>
        </w:tc>
        <w:tc>
          <w:tcPr>
            <w:tcW w:w="1168" w:type="dxa"/>
            <w:tcBorders>
              <w:top w:val="single" w:sz="4" w:space="0" w:color="auto"/>
              <w:bottom w:val="single" w:sz="4" w:space="0" w:color="auto"/>
            </w:tcBorders>
          </w:tcPr>
          <w:p w14:paraId="576E491E" w14:textId="77777777" w:rsidR="00BD1C5D" w:rsidRPr="008626C0" w:rsidRDefault="00BD1C5D" w:rsidP="00BD1C5D">
            <w:pPr>
              <w:tabs>
                <w:tab w:val="left" w:pos="2070"/>
              </w:tabs>
              <w:autoSpaceDE w:val="0"/>
              <w:autoSpaceDN w:val="0"/>
              <w:adjustRightInd w:val="0"/>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q</w:t>
            </w:r>
            <w:r w:rsidRPr="008626C0">
              <w:rPr>
                <w:rFonts w:ascii="Times New Roman" w:eastAsia="MS Mincho" w:hAnsi="Times New Roman"/>
                <w:i/>
                <w:iCs/>
                <w:sz w:val="20"/>
                <w:szCs w:val="20"/>
                <w:vertAlign w:val="subscript"/>
                <w:lang w:bidi="ar-SA"/>
              </w:rPr>
              <w:t>max</w:t>
            </w:r>
            <w:r w:rsidRPr="008626C0">
              <w:rPr>
                <w:rFonts w:ascii="Times New Roman" w:eastAsia="MS Mincho" w:hAnsi="Times New Roman"/>
                <w:iCs/>
                <w:sz w:val="20"/>
                <w:szCs w:val="20"/>
                <w:lang w:bidi="ar-SA"/>
              </w:rPr>
              <w:t>, mg/g</w:t>
            </w:r>
          </w:p>
        </w:tc>
        <w:tc>
          <w:tcPr>
            <w:tcW w:w="1100" w:type="dxa"/>
            <w:tcBorders>
              <w:top w:val="single" w:sz="4" w:space="0" w:color="auto"/>
              <w:bottom w:val="single" w:sz="4" w:space="0" w:color="auto"/>
            </w:tcBorders>
          </w:tcPr>
          <w:p w14:paraId="3CF7EBC0"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b</w:t>
            </w:r>
            <w:r w:rsidRPr="008626C0">
              <w:rPr>
                <w:rFonts w:ascii="Times New Roman" w:eastAsia="MS Mincho" w:hAnsi="Times New Roman"/>
                <w:iCs/>
                <w:sz w:val="20"/>
                <w:szCs w:val="20"/>
                <w:lang w:bidi="ar-SA"/>
              </w:rPr>
              <w:t>, l/mg</w:t>
            </w:r>
          </w:p>
        </w:tc>
        <w:tc>
          <w:tcPr>
            <w:tcW w:w="780" w:type="dxa"/>
            <w:tcBorders>
              <w:top w:val="single" w:sz="4" w:space="0" w:color="auto"/>
              <w:bottom w:val="single" w:sz="4" w:space="0" w:color="auto"/>
            </w:tcBorders>
          </w:tcPr>
          <w:p w14:paraId="0E1BF527"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R</w:t>
            </w:r>
            <w:r w:rsidRPr="008626C0">
              <w:rPr>
                <w:rFonts w:ascii="Times New Roman" w:eastAsia="MS Mincho" w:hAnsi="Times New Roman"/>
                <w:i/>
                <w:iCs/>
                <w:sz w:val="20"/>
                <w:szCs w:val="20"/>
                <w:vertAlign w:val="superscript"/>
                <w:lang w:bidi="ar-SA"/>
              </w:rPr>
              <w:t>2</w:t>
            </w:r>
          </w:p>
        </w:tc>
        <w:tc>
          <w:tcPr>
            <w:tcW w:w="942" w:type="dxa"/>
            <w:tcBorders>
              <w:top w:val="single" w:sz="4" w:space="0" w:color="auto"/>
              <w:bottom w:val="single" w:sz="4" w:space="0" w:color="auto"/>
            </w:tcBorders>
          </w:tcPr>
          <w:p w14:paraId="619888D2"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K</w:t>
            </w:r>
            <w:r w:rsidRPr="008626C0">
              <w:rPr>
                <w:rFonts w:ascii="Times New Roman" w:eastAsia="MS Mincho" w:hAnsi="Times New Roman"/>
                <w:iCs/>
                <w:sz w:val="20"/>
                <w:szCs w:val="20"/>
                <w:lang w:bidi="ar-SA"/>
              </w:rPr>
              <w:t>, mg/g</w:t>
            </w:r>
          </w:p>
        </w:tc>
        <w:tc>
          <w:tcPr>
            <w:tcW w:w="836" w:type="dxa"/>
            <w:tcBorders>
              <w:top w:val="single" w:sz="4" w:space="0" w:color="auto"/>
              <w:bottom w:val="single" w:sz="4" w:space="0" w:color="auto"/>
            </w:tcBorders>
          </w:tcPr>
          <w:p w14:paraId="33C5CE36"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1/</w:t>
            </w:r>
            <w:r w:rsidRPr="008626C0">
              <w:rPr>
                <w:rFonts w:ascii="Times New Roman" w:eastAsia="MS Mincho" w:hAnsi="Times New Roman"/>
                <w:i/>
                <w:iCs/>
                <w:sz w:val="20"/>
                <w:szCs w:val="20"/>
                <w:lang w:bidi="ar-SA"/>
              </w:rPr>
              <w:t>n</w:t>
            </w:r>
          </w:p>
        </w:tc>
        <w:tc>
          <w:tcPr>
            <w:tcW w:w="720" w:type="dxa"/>
            <w:tcBorders>
              <w:top w:val="single" w:sz="4" w:space="0" w:color="auto"/>
              <w:bottom w:val="single" w:sz="4" w:space="0" w:color="auto"/>
            </w:tcBorders>
          </w:tcPr>
          <w:p w14:paraId="4684B300"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n</w:t>
            </w:r>
          </w:p>
        </w:tc>
        <w:tc>
          <w:tcPr>
            <w:tcW w:w="981" w:type="dxa"/>
            <w:tcBorders>
              <w:top w:val="single" w:sz="4" w:space="0" w:color="auto"/>
              <w:bottom w:val="single" w:sz="4" w:space="0" w:color="auto"/>
            </w:tcBorders>
          </w:tcPr>
          <w:p w14:paraId="6BD3E87B" w14:textId="77777777" w:rsidR="00BD1C5D" w:rsidRPr="008626C0" w:rsidRDefault="00BD1C5D" w:rsidP="00C16B97">
            <w:pPr>
              <w:tabs>
                <w:tab w:val="left" w:pos="2070"/>
              </w:tabs>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
                <w:iCs/>
                <w:sz w:val="20"/>
                <w:szCs w:val="20"/>
                <w:lang w:bidi="ar-SA"/>
              </w:rPr>
              <w:t>R</w:t>
            </w:r>
            <w:r w:rsidRPr="008626C0">
              <w:rPr>
                <w:rFonts w:ascii="Times New Roman" w:eastAsia="MS Mincho" w:hAnsi="Times New Roman"/>
                <w:i/>
                <w:iCs/>
                <w:sz w:val="20"/>
                <w:szCs w:val="20"/>
                <w:vertAlign w:val="superscript"/>
                <w:lang w:bidi="ar-SA"/>
              </w:rPr>
              <w:t>2</w:t>
            </w:r>
          </w:p>
        </w:tc>
      </w:tr>
      <w:tr w:rsidR="00BD1C5D" w:rsidRPr="008626C0" w14:paraId="04140EA7" w14:textId="77777777" w:rsidTr="00BD1C5D">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auto"/>
              <w:bottom w:val="single" w:sz="4" w:space="0" w:color="auto"/>
            </w:tcBorders>
          </w:tcPr>
          <w:p w14:paraId="4FA60188" w14:textId="77777777" w:rsidR="00BD1C5D" w:rsidRPr="008626C0" w:rsidRDefault="00BD1C5D" w:rsidP="00BD1C5D">
            <w:pPr>
              <w:tabs>
                <w:tab w:val="left" w:pos="2070"/>
              </w:tabs>
              <w:autoSpaceDE w:val="0"/>
              <w:autoSpaceDN w:val="0"/>
              <w:adjustRightInd w:val="0"/>
              <w:spacing w:before="60" w:after="60" w:line="240" w:lineRule="auto"/>
              <w:jc w:val="center"/>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Pb</w:t>
            </w:r>
          </w:p>
        </w:tc>
        <w:tc>
          <w:tcPr>
            <w:tcW w:w="1168" w:type="dxa"/>
            <w:tcBorders>
              <w:top w:val="single" w:sz="4" w:space="0" w:color="auto"/>
              <w:bottom w:val="single" w:sz="4" w:space="0" w:color="auto"/>
            </w:tcBorders>
          </w:tcPr>
          <w:p w14:paraId="2E958C7C"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175.13</w:t>
            </w:r>
          </w:p>
        </w:tc>
        <w:tc>
          <w:tcPr>
            <w:tcW w:w="1100" w:type="dxa"/>
            <w:tcBorders>
              <w:top w:val="single" w:sz="4" w:space="0" w:color="auto"/>
              <w:bottom w:val="single" w:sz="4" w:space="0" w:color="auto"/>
            </w:tcBorders>
          </w:tcPr>
          <w:p w14:paraId="3A3B2EDD"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0.01476</w:t>
            </w:r>
          </w:p>
        </w:tc>
        <w:tc>
          <w:tcPr>
            <w:tcW w:w="780" w:type="dxa"/>
            <w:tcBorders>
              <w:top w:val="single" w:sz="4" w:space="0" w:color="auto"/>
              <w:bottom w:val="single" w:sz="4" w:space="0" w:color="auto"/>
            </w:tcBorders>
          </w:tcPr>
          <w:p w14:paraId="0B81A882"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0.9991</w:t>
            </w:r>
          </w:p>
        </w:tc>
        <w:tc>
          <w:tcPr>
            <w:tcW w:w="942" w:type="dxa"/>
            <w:tcBorders>
              <w:top w:val="single" w:sz="4" w:space="0" w:color="auto"/>
              <w:bottom w:val="single" w:sz="4" w:space="0" w:color="auto"/>
            </w:tcBorders>
          </w:tcPr>
          <w:p w14:paraId="082A3D00"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4.517</w:t>
            </w:r>
          </w:p>
        </w:tc>
        <w:tc>
          <w:tcPr>
            <w:tcW w:w="836" w:type="dxa"/>
            <w:tcBorders>
              <w:top w:val="single" w:sz="4" w:space="0" w:color="auto"/>
              <w:bottom w:val="single" w:sz="4" w:space="0" w:color="auto"/>
            </w:tcBorders>
          </w:tcPr>
          <w:p w14:paraId="5772DE33"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0.632</w:t>
            </w:r>
          </w:p>
        </w:tc>
        <w:tc>
          <w:tcPr>
            <w:tcW w:w="720" w:type="dxa"/>
            <w:tcBorders>
              <w:top w:val="single" w:sz="4" w:space="0" w:color="auto"/>
              <w:bottom w:val="single" w:sz="4" w:space="0" w:color="auto"/>
            </w:tcBorders>
          </w:tcPr>
          <w:p w14:paraId="6CC32304"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1.67</w:t>
            </w:r>
          </w:p>
        </w:tc>
        <w:tc>
          <w:tcPr>
            <w:tcW w:w="981" w:type="dxa"/>
            <w:tcBorders>
              <w:top w:val="single" w:sz="4" w:space="0" w:color="auto"/>
              <w:bottom w:val="single" w:sz="4" w:space="0" w:color="auto"/>
            </w:tcBorders>
          </w:tcPr>
          <w:p w14:paraId="15233E27" w14:textId="77777777" w:rsidR="00BD1C5D" w:rsidRPr="008626C0" w:rsidRDefault="00BD1C5D" w:rsidP="00BD1C5D">
            <w:pPr>
              <w:tabs>
                <w:tab w:val="left" w:pos="2070"/>
              </w:tabs>
              <w:autoSpaceDE w:val="0"/>
              <w:autoSpaceDN w:val="0"/>
              <w:adjustRightInd w:val="0"/>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Cs/>
                <w:sz w:val="20"/>
                <w:szCs w:val="20"/>
                <w:lang w:bidi="ar-SA"/>
              </w:rPr>
            </w:pPr>
            <w:r w:rsidRPr="008626C0">
              <w:rPr>
                <w:rFonts w:ascii="Times New Roman" w:eastAsia="MS Mincho" w:hAnsi="Times New Roman"/>
                <w:iCs/>
                <w:sz w:val="20"/>
                <w:szCs w:val="20"/>
                <w:lang w:bidi="ar-SA"/>
              </w:rPr>
              <w:t>0.9272</w:t>
            </w:r>
          </w:p>
        </w:tc>
      </w:tr>
    </w:tbl>
    <w:p w14:paraId="4602BECE" w14:textId="77777777" w:rsidR="00606C54" w:rsidRDefault="00606C54" w:rsidP="00606C54">
      <w:pPr>
        <w:spacing w:after="0"/>
        <w:jc w:val="both"/>
        <w:rPr>
          <w:rFonts w:ascii="Times New Roman" w:eastAsia="MS Mincho" w:hAnsi="Times New Roman"/>
          <w:sz w:val="20"/>
          <w:szCs w:val="20"/>
          <w:lang w:bidi="ar-SA"/>
        </w:rPr>
      </w:pPr>
    </w:p>
    <w:p w14:paraId="52E90338" w14:textId="77777777" w:rsidR="00C606EC" w:rsidRDefault="00C606EC" w:rsidP="00C606EC">
      <w:pPr>
        <w:autoSpaceDE w:val="0"/>
        <w:autoSpaceDN w:val="0"/>
        <w:adjustRightInd w:val="0"/>
        <w:spacing w:after="0"/>
        <w:ind w:right="58"/>
        <w:jc w:val="both"/>
        <w:rPr>
          <w:rFonts w:ascii="Times New Roman" w:eastAsia="MS Mincho" w:hAnsi="Times New Roman"/>
          <w:sz w:val="20"/>
          <w:szCs w:val="20"/>
          <w:lang w:bidi="ar-SA"/>
        </w:rPr>
      </w:pPr>
    </w:p>
    <w:p w14:paraId="0D58D3F6" w14:textId="77777777" w:rsidR="00671099" w:rsidRDefault="00671099" w:rsidP="00671099">
      <w:pPr>
        <w:tabs>
          <w:tab w:val="left" w:pos="2070"/>
        </w:tabs>
        <w:autoSpaceDE w:val="0"/>
        <w:autoSpaceDN w:val="0"/>
        <w:adjustRightInd w:val="0"/>
        <w:spacing w:after="0"/>
        <w:jc w:val="both"/>
        <w:rPr>
          <w:rFonts w:ascii="Times New Roman" w:eastAsia="MS Mincho" w:hAnsi="Times New Roman" w:cs="Arial"/>
          <w:b/>
          <w:iCs/>
          <w:sz w:val="20"/>
          <w:szCs w:val="20"/>
          <w:lang w:bidi="ar-SA"/>
        </w:rPr>
        <w:sectPr w:rsidR="00671099" w:rsidSect="00923861">
          <w:footerReference w:type="default" r:id="rId26"/>
          <w:type w:val="continuous"/>
          <w:pgSz w:w="12240" w:h="15840" w:code="1"/>
          <w:pgMar w:top="1800" w:right="1469" w:bottom="1699" w:left="1440" w:header="706" w:footer="706" w:gutter="0"/>
          <w:pgNumType w:start="1"/>
          <w:cols w:space="403"/>
          <w:docGrid w:linePitch="360"/>
        </w:sectPr>
      </w:pPr>
    </w:p>
    <w:p w14:paraId="23CA99C1" w14:textId="77777777" w:rsidR="00671099" w:rsidRPr="0028686E" w:rsidRDefault="00671099" w:rsidP="00671099">
      <w:pPr>
        <w:tabs>
          <w:tab w:val="left" w:pos="2070"/>
        </w:tabs>
        <w:autoSpaceDE w:val="0"/>
        <w:autoSpaceDN w:val="0"/>
        <w:adjustRightInd w:val="0"/>
        <w:spacing w:after="0"/>
        <w:jc w:val="both"/>
        <w:rPr>
          <w:rFonts w:ascii="Times New Roman" w:eastAsia="MS Mincho" w:hAnsi="Times New Roman" w:cs="Arial"/>
          <w:b/>
          <w:iCs/>
          <w:sz w:val="20"/>
          <w:szCs w:val="20"/>
          <w:lang w:bidi="ar-SA"/>
        </w:rPr>
      </w:pPr>
      <w:r w:rsidRPr="0028686E">
        <w:rPr>
          <w:rFonts w:ascii="Times New Roman" w:eastAsia="MS Mincho" w:hAnsi="Times New Roman" w:cs="Arial"/>
          <w:b/>
          <w:iCs/>
          <w:sz w:val="20"/>
          <w:szCs w:val="20"/>
          <w:lang w:bidi="ar-SA"/>
        </w:rPr>
        <w:t>Kinetic studies</w:t>
      </w:r>
    </w:p>
    <w:p w14:paraId="2E793CE8" w14:textId="77777777" w:rsidR="00671099" w:rsidRPr="0028686E" w:rsidRDefault="00671099" w:rsidP="00671099">
      <w:pPr>
        <w:tabs>
          <w:tab w:val="left" w:pos="2070"/>
        </w:tabs>
        <w:autoSpaceDE w:val="0"/>
        <w:autoSpaceDN w:val="0"/>
        <w:adjustRightInd w:val="0"/>
        <w:spacing w:after="0"/>
        <w:jc w:val="both"/>
        <w:rPr>
          <w:rFonts w:ascii="Times New Roman" w:hAnsi="Times New Roman"/>
          <w:sz w:val="20"/>
          <w:szCs w:val="20"/>
          <w:lang w:bidi="ar-SA"/>
        </w:rPr>
      </w:pPr>
      <w:r w:rsidRPr="0028686E">
        <w:rPr>
          <w:rFonts w:ascii="Times New Roman" w:eastAsia="MS Mincho" w:hAnsi="Times New Roman" w:cs="Arial"/>
          <w:bCs/>
          <w:iCs/>
          <w:sz w:val="20"/>
          <w:szCs w:val="20"/>
          <w:lang w:bidi="ar-SA"/>
        </w:rPr>
        <w:t>The</w:t>
      </w:r>
      <w:r w:rsidRPr="0028686E">
        <w:rPr>
          <w:rFonts w:ascii="Times New Roman" w:eastAsia="MS Mincho" w:hAnsi="Times New Roman" w:cs="Arial"/>
          <w:iCs/>
          <w:sz w:val="20"/>
          <w:szCs w:val="20"/>
          <w:lang w:bidi="ar-SA"/>
        </w:rPr>
        <w:t xml:space="preserve"> </w:t>
      </w:r>
      <w:r w:rsidRPr="0028686E">
        <w:rPr>
          <w:rFonts w:ascii="Times New Roman" w:hAnsi="Times New Roman"/>
          <w:sz w:val="20"/>
          <w:szCs w:val="20"/>
          <w:lang w:bidi="ar-SA"/>
        </w:rPr>
        <w:t>Pb</w:t>
      </w:r>
      <w:r w:rsidRPr="0028686E">
        <w:rPr>
          <w:rFonts w:ascii="Times New Roman" w:hAnsi="Times New Roman"/>
          <w:sz w:val="20"/>
          <w:szCs w:val="20"/>
          <w:vertAlign w:val="superscript"/>
          <w:lang w:bidi="ar-SA"/>
        </w:rPr>
        <w:t>2+</w:t>
      </w:r>
      <w:r w:rsidRPr="0028686E">
        <w:rPr>
          <w:rFonts w:ascii="Times New Roman" w:hAnsi="Times New Roman"/>
          <w:sz w:val="20"/>
          <w:szCs w:val="20"/>
          <w:lang w:bidi="ar-SA"/>
        </w:rPr>
        <w:t xml:space="preserve"> ions adsorption rate onto </w:t>
      </w:r>
      <w:r w:rsidRPr="0028686E">
        <w:rPr>
          <w:rFonts w:ascii="Times New Roman" w:hAnsi="Times New Roman"/>
          <w:i/>
          <w:iCs/>
          <w:sz w:val="20"/>
          <w:szCs w:val="20"/>
          <w:lang w:bidi="ar-SA"/>
        </w:rPr>
        <w:t>E.denticulatum</w:t>
      </w:r>
      <w:r w:rsidRPr="0028686E">
        <w:rPr>
          <w:rFonts w:ascii="Times New Roman" w:hAnsi="Times New Roman"/>
          <w:sz w:val="20"/>
          <w:szCs w:val="20"/>
          <w:lang w:bidi="ar-SA"/>
        </w:rPr>
        <w:t xml:space="preserve"> was estimated </w:t>
      </w:r>
      <w:r w:rsidRPr="0028686E">
        <w:rPr>
          <w:rFonts w:ascii="Times New Roman" w:hAnsi="Times New Roman"/>
          <w:sz w:val="20"/>
          <w:szCs w:val="20"/>
          <w:lang w:val="en-MY" w:bidi="ar-SA"/>
        </w:rPr>
        <w:t>for</w:t>
      </w:r>
      <w:r w:rsidRPr="0028686E">
        <w:rPr>
          <w:rFonts w:ascii="Times New Roman" w:hAnsi="Times New Roman"/>
          <w:sz w:val="20"/>
          <w:szCs w:val="20"/>
          <w:lang w:bidi="ar-SA"/>
        </w:rPr>
        <w:t xml:space="preserve"> contact time</w:t>
      </w:r>
      <w:r w:rsidRPr="0028686E">
        <w:rPr>
          <w:rFonts w:ascii="Times New Roman" w:hAnsi="Times New Roman"/>
          <w:sz w:val="20"/>
          <w:szCs w:val="20"/>
          <w:lang w:val="en-MY" w:bidi="ar-SA"/>
        </w:rPr>
        <w:t>s</w:t>
      </w:r>
      <w:r w:rsidRPr="0028686E">
        <w:rPr>
          <w:rFonts w:ascii="Times New Roman" w:hAnsi="Times New Roman"/>
          <w:sz w:val="20"/>
          <w:szCs w:val="20"/>
          <w:lang w:bidi="ar-SA"/>
        </w:rPr>
        <w:t xml:space="preserve"> rang</w:t>
      </w:r>
      <w:r w:rsidRPr="0028686E">
        <w:rPr>
          <w:rFonts w:ascii="Times New Roman" w:hAnsi="Times New Roman"/>
          <w:sz w:val="20"/>
          <w:szCs w:val="20"/>
          <w:lang w:val="en-MY" w:bidi="ar-SA"/>
        </w:rPr>
        <w:t>ing</w:t>
      </w:r>
      <w:r w:rsidRPr="0028686E">
        <w:rPr>
          <w:rFonts w:ascii="Times New Roman" w:hAnsi="Times New Roman"/>
          <w:sz w:val="20"/>
          <w:szCs w:val="20"/>
          <w:lang w:bidi="ar-SA"/>
        </w:rPr>
        <w:t xml:space="preserve"> from (0 – 180) min. The experimental data were interpreted using pseudo-first-order and pseudo-second-order kinetic models. The kinetic parameters and regression coefficients were obtained from their corresponding linear graphs (Figures 8 (a) and (b)</w:t>
      </w:r>
      <w:r w:rsidRPr="0028686E">
        <w:rPr>
          <w:rFonts w:ascii="Times New Roman" w:hAnsi="Times New Roman"/>
          <w:sz w:val="20"/>
          <w:szCs w:val="20"/>
          <w:lang w:val="en-MY" w:bidi="ar-SA"/>
        </w:rPr>
        <w:t>)</w:t>
      </w:r>
      <w:r w:rsidRPr="0028686E">
        <w:rPr>
          <w:rFonts w:ascii="Times New Roman" w:hAnsi="Times New Roman"/>
          <w:sz w:val="20"/>
          <w:szCs w:val="20"/>
          <w:lang w:bidi="ar-SA"/>
        </w:rPr>
        <w:t xml:space="preserve"> and </w:t>
      </w:r>
      <w:r w:rsidRPr="0028686E">
        <w:rPr>
          <w:rFonts w:ascii="Times New Roman" w:hAnsi="Times New Roman"/>
          <w:sz w:val="20"/>
          <w:szCs w:val="20"/>
          <w:lang w:val="en-MY" w:bidi="ar-SA"/>
        </w:rPr>
        <w:t xml:space="preserve">these are </w:t>
      </w:r>
      <w:r w:rsidRPr="0028686E">
        <w:rPr>
          <w:rFonts w:ascii="Times New Roman" w:hAnsi="Times New Roman"/>
          <w:sz w:val="20"/>
          <w:szCs w:val="20"/>
          <w:lang w:bidi="ar-SA"/>
        </w:rPr>
        <w:t>summar</w:t>
      </w:r>
      <w:r w:rsidRPr="0028686E">
        <w:rPr>
          <w:rFonts w:ascii="Times New Roman" w:hAnsi="Times New Roman"/>
          <w:sz w:val="20"/>
          <w:szCs w:val="20"/>
          <w:lang w:val="en-MY" w:bidi="ar-SA"/>
        </w:rPr>
        <w:t>is</w:t>
      </w:r>
      <w:r w:rsidRPr="0028686E">
        <w:rPr>
          <w:rFonts w:ascii="Times New Roman" w:hAnsi="Times New Roman"/>
          <w:sz w:val="20"/>
          <w:szCs w:val="20"/>
          <w:lang w:bidi="ar-SA"/>
        </w:rPr>
        <w:t xml:space="preserve">ed in </w:t>
      </w:r>
      <w:r w:rsidRPr="0028686E">
        <w:rPr>
          <w:rFonts w:ascii="Times New Roman" w:hAnsi="Times New Roman"/>
          <w:sz w:val="20"/>
          <w:szCs w:val="20"/>
          <w:lang w:val="en-MY" w:bidi="ar-SA"/>
        </w:rPr>
        <w:t>T</w:t>
      </w:r>
      <w:r w:rsidRPr="0028686E">
        <w:rPr>
          <w:rFonts w:ascii="Times New Roman" w:hAnsi="Times New Roman"/>
          <w:sz w:val="20"/>
          <w:szCs w:val="20"/>
          <w:lang w:bidi="ar-SA"/>
        </w:rPr>
        <w:t xml:space="preserve">able 2. The </w:t>
      </w:r>
      <m:oMath>
        <m:func>
          <m:funcPr>
            <m:ctrlPr>
              <w:rPr>
                <w:rFonts w:ascii="Cambria Math" w:eastAsia="MS Mincho" w:hAnsi="Cambria Math"/>
                <w:i/>
                <w:sz w:val="20"/>
                <w:szCs w:val="20"/>
                <w:lang w:bidi="ar-SA"/>
              </w:rPr>
            </m:ctrlPr>
          </m:funcPr>
          <m:fName>
            <m:r>
              <m:rPr>
                <m:sty m:val="p"/>
              </m:rPr>
              <w:rPr>
                <w:rFonts w:ascii="Cambria Math" w:eastAsia="MS Mincho" w:hAnsi="Cambria Math"/>
                <w:sz w:val="20"/>
                <w:szCs w:val="20"/>
                <w:lang w:bidi="ar-SA"/>
              </w:rPr>
              <m:t>log</m:t>
            </m:r>
          </m:fName>
          <m:e>
            <m:d>
              <m:dPr>
                <m:ctrlPr>
                  <w:rPr>
                    <w:rFonts w:ascii="Cambria Math" w:eastAsia="MS Mincho" w:hAnsi="Cambria Math"/>
                    <w:i/>
                    <w:sz w:val="20"/>
                    <w:szCs w:val="20"/>
                    <w:lang w:bidi="ar-SA"/>
                  </w:rPr>
                </m:ctrlPr>
              </m:dPr>
              <m:e>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e</m:t>
                    </m:r>
                  </m:sub>
                </m:sSub>
                <m:r>
                  <w:rPr>
                    <w:rFonts w:ascii="Cambria Math" w:eastAsia="MS Mincho" w:hAnsi="Cambria Math"/>
                    <w:sz w:val="20"/>
                    <w:szCs w:val="20"/>
                    <w:lang w:bidi="ar-SA"/>
                  </w:rPr>
                  <m:t>-</m:t>
                </m:r>
                <m:sSub>
                  <m:sSubPr>
                    <m:ctrlPr>
                      <w:rPr>
                        <w:rFonts w:ascii="Cambria Math" w:eastAsia="MS Mincho" w:hAnsi="Cambria Math"/>
                        <w:i/>
                        <w:sz w:val="20"/>
                        <w:szCs w:val="20"/>
                        <w:lang w:bidi="ar-SA"/>
                      </w:rPr>
                    </m:ctrlPr>
                  </m:sSubPr>
                  <m:e>
                    <m:r>
                      <w:rPr>
                        <w:rFonts w:ascii="Cambria Math" w:eastAsia="MS Mincho" w:hAnsi="Cambria Math"/>
                        <w:sz w:val="20"/>
                        <w:szCs w:val="20"/>
                        <w:lang w:bidi="ar-SA"/>
                      </w:rPr>
                      <m:t>q</m:t>
                    </m:r>
                  </m:e>
                  <m:sub>
                    <m:r>
                      <w:rPr>
                        <w:rFonts w:ascii="Cambria Math" w:eastAsia="MS Mincho" w:hAnsi="Cambria Math"/>
                        <w:sz w:val="20"/>
                        <w:szCs w:val="20"/>
                        <w:lang w:bidi="ar-SA"/>
                      </w:rPr>
                      <m:t>t</m:t>
                    </m:r>
                  </m:sub>
                </m:sSub>
              </m:e>
            </m:d>
          </m:e>
        </m:func>
        <m:r>
          <w:rPr>
            <w:rFonts w:ascii="Cambria Math" w:eastAsia="MS Mincho" w:hAnsi="Cambria Math"/>
            <w:sz w:val="20"/>
            <w:szCs w:val="20"/>
            <w:lang w:bidi="ar-SA"/>
          </w:rPr>
          <m:t xml:space="preserve"> </m:t>
        </m:r>
      </m:oMath>
      <w:r w:rsidRPr="0028686E">
        <w:rPr>
          <w:rFonts w:ascii="Times New Roman" w:hAnsi="Times New Roman"/>
          <w:sz w:val="20"/>
          <w:szCs w:val="20"/>
          <w:lang w:bidi="ar-SA"/>
        </w:rPr>
        <w:t xml:space="preserve"> Vs. t plot gives an approximate line, and the rate constant (k</w:t>
      </w:r>
      <w:r w:rsidRPr="0028686E">
        <w:rPr>
          <w:rFonts w:ascii="Times New Roman" w:hAnsi="Times New Roman"/>
          <w:sz w:val="20"/>
          <w:szCs w:val="20"/>
          <w:vertAlign w:val="subscript"/>
          <w:lang w:bidi="ar-SA"/>
        </w:rPr>
        <w:t>1</w:t>
      </w:r>
      <w:r w:rsidRPr="0028686E">
        <w:rPr>
          <w:rFonts w:ascii="Times New Roman" w:hAnsi="Times New Roman"/>
          <w:sz w:val="20"/>
          <w:szCs w:val="20"/>
          <w:lang w:bidi="ar-SA"/>
        </w:rPr>
        <w:t>) and q</w:t>
      </w:r>
      <w:r w:rsidRPr="0028686E">
        <w:rPr>
          <w:rFonts w:ascii="Times New Roman" w:hAnsi="Times New Roman"/>
          <w:sz w:val="20"/>
          <w:szCs w:val="20"/>
          <w:vertAlign w:val="subscript"/>
          <w:lang w:bidi="ar-SA"/>
        </w:rPr>
        <w:t>e</w:t>
      </w:r>
      <w:r w:rsidRPr="0028686E">
        <w:rPr>
          <w:rFonts w:ascii="Times New Roman" w:hAnsi="Times New Roman"/>
          <w:sz w:val="20"/>
          <w:szCs w:val="20"/>
          <w:lang w:bidi="ar-SA"/>
        </w:rPr>
        <w:t xml:space="preserve"> can be estimated from the slope and the intercept, respectively. The k</w:t>
      </w:r>
      <w:r w:rsidRPr="0028686E">
        <w:rPr>
          <w:rFonts w:ascii="Times New Roman" w:hAnsi="Times New Roman"/>
          <w:sz w:val="20"/>
          <w:szCs w:val="20"/>
          <w:vertAlign w:val="subscript"/>
          <w:lang w:bidi="ar-SA"/>
        </w:rPr>
        <w:t>1</w:t>
      </w:r>
      <w:r w:rsidRPr="0028686E">
        <w:rPr>
          <w:rFonts w:ascii="Times New Roman" w:hAnsi="Times New Roman"/>
          <w:sz w:val="20"/>
          <w:szCs w:val="20"/>
          <w:lang w:bidi="ar-SA"/>
        </w:rPr>
        <w:t>, q</w:t>
      </w:r>
      <w:r w:rsidRPr="0028686E">
        <w:rPr>
          <w:rFonts w:ascii="Times New Roman" w:hAnsi="Times New Roman"/>
          <w:sz w:val="20"/>
          <w:szCs w:val="20"/>
          <w:vertAlign w:val="subscript"/>
          <w:lang w:bidi="ar-SA"/>
        </w:rPr>
        <w:t>e</w:t>
      </w:r>
      <w:r w:rsidRPr="0028686E">
        <w:rPr>
          <w:rFonts w:ascii="Times New Roman" w:hAnsi="Times New Roman"/>
          <w:sz w:val="20"/>
          <w:szCs w:val="20"/>
          <w:lang w:bidi="ar-SA"/>
        </w:rPr>
        <w:t>, and R</w:t>
      </w:r>
      <w:r w:rsidRPr="0028686E">
        <w:rPr>
          <w:rFonts w:ascii="Times New Roman" w:hAnsi="Times New Roman"/>
          <w:sz w:val="20"/>
          <w:szCs w:val="20"/>
          <w:vertAlign w:val="superscript"/>
          <w:lang w:bidi="ar-SA"/>
        </w:rPr>
        <w:t>2</w:t>
      </w:r>
      <w:r w:rsidRPr="0028686E">
        <w:rPr>
          <w:rFonts w:ascii="Times New Roman" w:hAnsi="Times New Roman"/>
          <w:sz w:val="20"/>
          <w:szCs w:val="20"/>
          <w:lang w:bidi="ar-SA"/>
        </w:rPr>
        <w:t xml:space="preserve"> are shown in </w:t>
      </w:r>
      <w:r w:rsidRPr="0028686E">
        <w:rPr>
          <w:rFonts w:ascii="Times New Roman" w:hAnsi="Times New Roman"/>
          <w:sz w:val="20"/>
          <w:szCs w:val="20"/>
          <w:lang w:val="en-MY" w:bidi="ar-SA"/>
        </w:rPr>
        <w:t>T</w:t>
      </w:r>
      <w:r w:rsidRPr="0028686E">
        <w:rPr>
          <w:rFonts w:ascii="Times New Roman" w:hAnsi="Times New Roman"/>
          <w:sz w:val="20"/>
          <w:szCs w:val="20"/>
          <w:lang w:bidi="ar-SA"/>
        </w:rPr>
        <w:t>able 2. Even though the plot is linear and the R</w:t>
      </w:r>
      <w:r w:rsidRPr="0028686E">
        <w:rPr>
          <w:rFonts w:ascii="Times New Roman" w:hAnsi="Times New Roman"/>
          <w:sz w:val="20"/>
          <w:szCs w:val="20"/>
          <w:vertAlign w:val="superscript"/>
          <w:lang w:bidi="ar-SA"/>
        </w:rPr>
        <w:t>2</w:t>
      </w:r>
      <w:r w:rsidRPr="0028686E">
        <w:rPr>
          <w:rFonts w:ascii="Times New Roman" w:hAnsi="Times New Roman"/>
          <w:sz w:val="20"/>
          <w:szCs w:val="20"/>
          <w:lang w:bidi="ar-SA"/>
        </w:rPr>
        <w:t xml:space="preserve"> is 0.911, the </w:t>
      </w:r>
      <w:r w:rsidRPr="0028686E">
        <w:rPr>
          <w:rFonts w:ascii="Times New Roman" w:hAnsi="Times New Roman"/>
          <w:sz w:val="20"/>
          <w:szCs w:val="20"/>
          <w:lang w:bidi="ar-SA"/>
        </w:rPr>
        <w:t>value of q</w:t>
      </w:r>
      <w:r w:rsidRPr="0028686E">
        <w:rPr>
          <w:rFonts w:ascii="Times New Roman" w:hAnsi="Times New Roman"/>
          <w:sz w:val="20"/>
          <w:szCs w:val="20"/>
          <w:vertAlign w:val="subscript"/>
          <w:lang w:bidi="ar-SA"/>
        </w:rPr>
        <w:t>e</w:t>
      </w:r>
      <w:r w:rsidRPr="0028686E">
        <w:rPr>
          <w:rFonts w:ascii="Times New Roman" w:hAnsi="Times New Roman"/>
          <w:sz w:val="20"/>
          <w:szCs w:val="20"/>
          <w:lang w:bidi="ar-SA"/>
        </w:rPr>
        <w:t xml:space="preserve"> does not agree with the experimental q</w:t>
      </w:r>
      <w:r w:rsidRPr="0028686E">
        <w:rPr>
          <w:rFonts w:ascii="Times New Roman" w:hAnsi="Times New Roman"/>
          <w:sz w:val="20"/>
          <w:szCs w:val="20"/>
          <w:vertAlign w:val="subscript"/>
          <w:lang w:bidi="ar-SA"/>
        </w:rPr>
        <w:t>e</w:t>
      </w:r>
      <w:r w:rsidRPr="0028686E">
        <w:rPr>
          <w:rFonts w:ascii="Times New Roman" w:hAnsi="Times New Roman"/>
          <w:sz w:val="20"/>
          <w:szCs w:val="20"/>
          <w:lang w:bidi="ar-SA"/>
        </w:rPr>
        <w:t xml:space="preserve"> value (4.044). Therefore, Pb(II) adsorption does not follow pseudo-first-order kinetics. </w:t>
      </w:r>
    </w:p>
    <w:p w14:paraId="514A1FB4" w14:textId="77777777" w:rsidR="001D7C35" w:rsidRDefault="001D7C35" w:rsidP="002C60A1">
      <w:pPr>
        <w:keepNext/>
        <w:keepLines/>
        <w:tabs>
          <w:tab w:val="left" w:pos="1350"/>
        </w:tabs>
        <w:spacing w:after="120"/>
        <w:jc w:val="both"/>
        <w:outlineLvl w:val="1"/>
        <w:rPr>
          <w:rFonts w:ascii="Times New Roman" w:eastAsia="Calibri" w:hAnsi="Times New Roman"/>
          <w:b/>
          <w:iCs/>
          <w:sz w:val="20"/>
          <w:szCs w:val="20"/>
          <w:lang w:eastAsia="ja-JP" w:bidi="ar-SA"/>
        </w:rPr>
      </w:pPr>
    </w:p>
    <w:p w14:paraId="7B206521" w14:textId="77777777" w:rsidR="00671099" w:rsidRPr="00FC3B05" w:rsidRDefault="00671099" w:rsidP="00671099">
      <w:pPr>
        <w:tabs>
          <w:tab w:val="left" w:pos="2070"/>
        </w:tabs>
        <w:autoSpaceDE w:val="0"/>
        <w:autoSpaceDN w:val="0"/>
        <w:adjustRightInd w:val="0"/>
        <w:spacing w:after="0"/>
        <w:jc w:val="both"/>
        <w:rPr>
          <w:rFonts w:ascii="Times New Roman" w:hAnsi="Times New Roman"/>
          <w:sz w:val="20"/>
          <w:szCs w:val="20"/>
          <w:lang w:bidi="ar-SA"/>
        </w:rPr>
      </w:pPr>
      <w:r w:rsidRPr="00FC3B05">
        <w:rPr>
          <w:rFonts w:ascii="Times New Roman" w:hAnsi="Times New Roman"/>
          <w:sz w:val="20"/>
          <w:szCs w:val="20"/>
          <w:lang w:bidi="ar-SA"/>
        </w:rPr>
        <w:t xml:space="preserve">The pseudo-second-order kinetic model was employed to find a more trustworthy Pb (II) adsorption kinetics description. The results from the </w:t>
      </w:r>
      <m:oMath>
        <m:f>
          <m:fPr>
            <m:ctrlPr>
              <w:rPr>
                <w:rFonts w:ascii="Cambria Math" w:eastAsia="MS Mincho" w:hAnsi="Cambria Math"/>
                <w:iCs/>
                <w:sz w:val="20"/>
                <w:szCs w:val="20"/>
                <w:lang w:bidi="ar-SA"/>
              </w:rPr>
            </m:ctrlPr>
          </m:fPr>
          <m:num>
            <m:r>
              <m:rPr>
                <m:sty m:val="p"/>
              </m:rPr>
              <w:rPr>
                <w:rFonts w:ascii="Cambria Math" w:eastAsia="MS Mincho" w:hAnsi="Cambria Math"/>
                <w:sz w:val="20"/>
                <w:szCs w:val="20"/>
                <w:lang w:bidi="ar-SA"/>
              </w:rPr>
              <m:t>t</m:t>
            </m:r>
          </m:num>
          <m:den>
            <m:sSub>
              <m:sSubPr>
                <m:ctrlPr>
                  <w:rPr>
                    <w:rFonts w:ascii="Cambria Math" w:eastAsia="MS Mincho" w:hAnsi="Cambria Math"/>
                    <w:iCs/>
                    <w:sz w:val="20"/>
                    <w:szCs w:val="20"/>
                    <w:lang w:bidi="ar-SA"/>
                  </w:rPr>
                </m:ctrlPr>
              </m:sSubPr>
              <m:e>
                <m:r>
                  <m:rPr>
                    <m:sty m:val="p"/>
                  </m:rPr>
                  <w:rPr>
                    <w:rFonts w:ascii="Cambria Math" w:eastAsia="MS Mincho" w:hAnsi="Cambria Math"/>
                    <w:sz w:val="20"/>
                    <w:szCs w:val="20"/>
                    <w:lang w:bidi="ar-SA"/>
                  </w:rPr>
                  <m:t>q</m:t>
                </m:r>
              </m:e>
              <m:sub>
                <m:r>
                  <m:rPr>
                    <m:sty m:val="p"/>
                  </m:rPr>
                  <w:rPr>
                    <w:rFonts w:ascii="Cambria Math" w:eastAsia="MS Mincho" w:hAnsi="Cambria Math"/>
                    <w:sz w:val="20"/>
                    <w:szCs w:val="20"/>
                    <w:lang w:bidi="ar-SA"/>
                  </w:rPr>
                  <m:t>t</m:t>
                </m:r>
              </m:sub>
            </m:sSub>
          </m:den>
        </m:f>
      </m:oMath>
      <w:r w:rsidRPr="00FC3B05">
        <w:rPr>
          <w:rFonts w:ascii="Times New Roman" w:hAnsi="Times New Roman"/>
          <w:sz w:val="20"/>
          <w:szCs w:val="20"/>
          <w:lang w:bidi="ar-SA"/>
        </w:rPr>
        <w:t xml:space="preserve">  Vs. t plot indicates that the pseudo-second-order kinetic model fits the metal adsorption experiment. The regression coefficient (R</w:t>
      </w:r>
      <w:r w:rsidRPr="00FC3B05">
        <w:rPr>
          <w:rFonts w:ascii="Times New Roman" w:hAnsi="Times New Roman"/>
          <w:sz w:val="20"/>
          <w:szCs w:val="20"/>
          <w:vertAlign w:val="superscript"/>
          <w:lang w:bidi="ar-SA"/>
        </w:rPr>
        <w:t>2</w:t>
      </w:r>
      <w:r w:rsidRPr="00FC3B05">
        <w:rPr>
          <w:rFonts w:ascii="Times New Roman" w:hAnsi="Times New Roman"/>
          <w:sz w:val="20"/>
          <w:szCs w:val="20"/>
          <w:lang w:bidi="ar-SA"/>
        </w:rPr>
        <w:t>) was 0.998, and the q</w:t>
      </w:r>
      <w:r w:rsidRPr="00FC3B05">
        <w:rPr>
          <w:rFonts w:ascii="Times New Roman" w:hAnsi="Times New Roman"/>
          <w:sz w:val="20"/>
          <w:szCs w:val="20"/>
          <w:vertAlign w:val="subscript"/>
          <w:lang w:bidi="ar-SA"/>
        </w:rPr>
        <w:t>e</w:t>
      </w:r>
      <w:r w:rsidRPr="00FC3B05">
        <w:rPr>
          <w:rFonts w:ascii="Times New Roman" w:hAnsi="Times New Roman"/>
          <w:sz w:val="20"/>
          <w:szCs w:val="20"/>
          <w:lang w:bidi="ar-SA"/>
        </w:rPr>
        <w:t xml:space="preserve"> equals 4.3802 mg/g, which is close to the experimental q</w:t>
      </w:r>
      <w:r w:rsidRPr="00FC3B05">
        <w:rPr>
          <w:rFonts w:ascii="Times New Roman" w:hAnsi="Times New Roman"/>
          <w:sz w:val="20"/>
          <w:szCs w:val="20"/>
          <w:vertAlign w:val="subscript"/>
          <w:lang w:bidi="ar-SA"/>
        </w:rPr>
        <w:t>e</w:t>
      </w:r>
      <w:r w:rsidRPr="00FC3B05">
        <w:rPr>
          <w:rFonts w:ascii="Times New Roman" w:hAnsi="Times New Roman"/>
          <w:sz w:val="20"/>
          <w:szCs w:val="20"/>
          <w:lang w:bidi="ar-SA"/>
        </w:rPr>
        <w:t xml:space="preserve"> (4.044mg/g).</w:t>
      </w:r>
    </w:p>
    <w:p w14:paraId="2228EAD5" w14:textId="77777777" w:rsidR="00671099" w:rsidRDefault="00671099" w:rsidP="002C60A1">
      <w:pPr>
        <w:keepNext/>
        <w:keepLines/>
        <w:tabs>
          <w:tab w:val="left" w:pos="1350"/>
        </w:tabs>
        <w:spacing w:after="120"/>
        <w:jc w:val="both"/>
        <w:outlineLvl w:val="1"/>
        <w:rPr>
          <w:rFonts w:ascii="Times New Roman" w:eastAsia="Calibri" w:hAnsi="Times New Roman"/>
          <w:b/>
          <w:iCs/>
          <w:sz w:val="20"/>
          <w:szCs w:val="20"/>
          <w:lang w:eastAsia="ja-JP" w:bidi="ar-SA"/>
        </w:rPr>
      </w:pPr>
    </w:p>
    <w:p w14:paraId="7033047F" w14:textId="20F64104" w:rsidR="00671099" w:rsidRDefault="00671099" w:rsidP="002C60A1">
      <w:pPr>
        <w:keepNext/>
        <w:keepLines/>
        <w:tabs>
          <w:tab w:val="left" w:pos="1350"/>
        </w:tabs>
        <w:spacing w:after="120"/>
        <w:jc w:val="both"/>
        <w:outlineLvl w:val="1"/>
        <w:rPr>
          <w:rFonts w:ascii="Times New Roman" w:eastAsia="Calibri" w:hAnsi="Times New Roman"/>
          <w:b/>
          <w:iCs/>
          <w:sz w:val="20"/>
          <w:szCs w:val="20"/>
          <w:lang w:eastAsia="ja-JP" w:bidi="ar-SA"/>
        </w:rPr>
        <w:sectPr w:rsidR="00671099" w:rsidSect="00671099">
          <w:type w:val="continuous"/>
          <w:pgSz w:w="12240" w:h="15840" w:code="1"/>
          <w:pgMar w:top="1800" w:right="1469" w:bottom="1699" w:left="1440" w:header="706" w:footer="706" w:gutter="0"/>
          <w:pgNumType w:start="1"/>
          <w:cols w:num="2" w:space="403"/>
          <w:docGrid w:linePitch="360"/>
        </w:sectPr>
      </w:pPr>
    </w:p>
    <w:p w14:paraId="4835C14A" w14:textId="77777777" w:rsidR="0063224D" w:rsidRDefault="0063224D" w:rsidP="00F87302">
      <w:pPr>
        <w:autoSpaceDE w:val="0"/>
        <w:autoSpaceDN w:val="0"/>
        <w:adjustRightInd w:val="0"/>
        <w:spacing w:after="0"/>
        <w:jc w:val="both"/>
        <w:rPr>
          <w:rFonts w:ascii="Times New Roman" w:eastAsia="MS Mincho" w:hAnsi="Times New Roman"/>
          <w:sz w:val="20"/>
          <w:szCs w:val="20"/>
          <w:lang w:bidi="ar-SA"/>
        </w:rPr>
        <w:sectPr w:rsidR="0063224D" w:rsidSect="00336E8C">
          <w:type w:val="continuous"/>
          <w:pgSz w:w="12240" w:h="15840" w:code="1"/>
          <w:pgMar w:top="1800" w:right="1469" w:bottom="1699" w:left="1440" w:header="706" w:footer="706" w:gutter="0"/>
          <w:pgNumType w:start="1"/>
          <w:cols w:num="2" w:space="403"/>
          <w:docGrid w:linePitch="360"/>
        </w:sectPr>
      </w:pPr>
    </w:p>
    <w:p w14:paraId="5E818057" w14:textId="342962DD" w:rsidR="0063224D" w:rsidRDefault="0063224D" w:rsidP="00F87302">
      <w:pPr>
        <w:spacing w:after="0"/>
        <w:jc w:val="both"/>
        <w:rPr>
          <w:rFonts w:ascii="Times New Roman" w:eastAsia="MS Mincho" w:hAnsi="Times New Roman" w:cs="Arial"/>
          <w:sz w:val="20"/>
          <w:szCs w:val="20"/>
          <w:lang w:bidi="ar-SA"/>
        </w:rPr>
        <w:sectPr w:rsidR="0063224D" w:rsidSect="00F87302">
          <w:type w:val="continuous"/>
          <w:pgSz w:w="12240" w:h="15840" w:code="1"/>
          <w:pgMar w:top="1800" w:right="1469" w:bottom="1699" w:left="1440" w:header="706" w:footer="706" w:gutter="0"/>
          <w:pgNumType w:start="1"/>
          <w:cols w:num="2" w:space="403"/>
          <w:docGrid w:linePitch="360"/>
        </w:sectPr>
      </w:pPr>
    </w:p>
    <w:p w14:paraId="223910BE" w14:textId="4F28E497" w:rsidR="00A80CA5" w:rsidRDefault="00A80CA5" w:rsidP="00A80CA5">
      <w:pPr>
        <w:spacing w:after="0"/>
        <w:rPr>
          <w:rFonts w:ascii="Times New Roman" w:hAnsi="Times New Roman"/>
          <w:b/>
          <w:noProof/>
          <w:sz w:val="20"/>
          <w:szCs w:val="20"/>
          <w:lang w:bidi="ar-SA"/>
        </w:rPr>
        <w:sectPr w:rsidR="00A80CA5" w:rsidSect="00292F86">
          <w:type w:val="continuous"/>
          <w:pgSz w:w="12240" w:h="15840" w:code="1"/>
          <w:pgMar w:top="1800" w:right="1469" w:bottom="1699" w:left="1440" w:header="706" w:footer="706" w:gutter="0"/>
          <w:pgNumType w:start="1"/>
          <w:cols w:space="403"/>
          <w:docGrid w:linePitch="360"/>
        </w:sectPr>
      </w:pPr>
    </w:p>
    <w:p w14:paraId="3B62127A" w14:textId="77777777" w:rsidR="0012339D" w:rsidRDefault="0012339D" w:rsidP="0012339D">
      <w:pPr>
        <w:tabs>
          <w:tab w:val="left" w:pos="2070"/>
        </w:tabs>
        <w:autoSpaceDE w:val="0"/>
        <w:autoSpaceDN w:val="0"/>
        <w:adjustRightInd w:val="0"/>
        <w:spacing w:after="0"/>
        <w:jc w:val="both"/>
        <w:rPr>
          <w:rFonts w:ascii="Times New Roman" w:eastAsia="MS Mincho" w:hAnsi="Times New Roman" w:cs="Arial"/>
          <w:bCs/>
          <w:iCs/>
          <w:sz w:val="20"/>
          <w:szCs w:val="20"/>
          <w:lang w:bidi="ar-SA"/>
        </w:rPr>
      </w:pPr>
    </w:p>
    <w:p w14:paraId="202222F4" w14:textId="58A3AED3" w:rsidR="0012339D" w:rsidRDefault="0012339D" w:rsidP="0012339D">
      <w:pPr>
        <w:tabs>
          <w:tab w:val="left" w:pos="2070"/>
        </w:tabs>
        <w:autoSpaceDE w:val="0"/>
        <w:autoSpaceDN w:val="0"/>
        <w:adjustRightInd w:val="0"/>
        <w:spacing w:after="0" w:line="240" w:lineRule="auto"/>
        <w:ind w:left="1710" w:hanging="1710"/>
        <w:jc w:val="both"/>
        <w:rPr>
          <w:rFonts w:ascii="Times New Roman" w:eastAsia="Calibri" w:hAnsi="Times New Roman"/>
          <w:bCs/>
          <w:iCs/>
          <w:sz w:val="20"/>
          <w:szCs w:val="20"/>
          <w:lang w:val="en-MY" w:eastAsia="ja-JP" w:bidi="ar-SA"/>
        </w:rPr>
      </w:pPr>
    </w:p>
    <w:p w14:paraId="1A76B9BC" w14:textId="77777777" w:rsidR="0012339D" w:rsidRPr="008626C0" w:rsidRDefault="0012339D" w:rsidP="0012339D">
      <w:pPr>
        <w:tabs>
          <w:tab w:val="left" w:pos="2070"/>
        </w:tabs>
        <w:autoSpaceDE w:val="0"/>
        <w:autoSpaceDN w:val="0"/>
        <w:adjustRightInd w:val="0"/>
        <w:spacing w:after="0" w:line="240" w:lineRule="auto"/>
        <w:ind w:left="1710" w:hanging="1710"/>
        <w:jc w:val="both"/>
        <w:rPr>
          <w:rFonts w:ascii="Times New Roman" w:eastAsia="Calibri" w:hAnsi="Times New Roman"/>
          <w:bCs/>
          <w:iCs/>
          <w:sz w:val="20"/>
          <w:szCs w:val="20"/>
          <w:lang w:val="en-MY" w:eastAsia="ja-JP" w:bidi="ar-SA"/>
        </w:rPr>
      </w:pPr>
    </w:p>
    <w:p w14:paraId="6CBE6CA7" w14:textId="16C59F95" w:rsidR="008626C0" w:rsidRDefault="008626C0" w:rsidP="00671099">
      <w:pPr>
        <w:spacing w:after="120"/>
        <w:jc w:val="center"/>
        <w:rPr>
          <w:rFonts w:ascii="Times New Roman" w:hAnsi="Times New Roman"/>
          <w:noProof/>
          <w:sz w:val="20"/>
          <w:szCs w:val="20"/>
          <w:lang w:bidi="ar-SA"/>
        </w:rPr>
      </w:pPr>
      <w:r>
        <w:rPr>
          <w:noProof/>
        </w:rPr>
        <w:lastRenderedPageBreak/>
        <w:drawing>
          <wp:inline distT="0" distB="0" distL="0" distR="0" wp14:anchorId="7DE0587D" wp14:editId="529A35E1">
            <wp:extent cx="4061460" cy="2225040"/>
            <wp:effectExtent l="0" t="0" r="15240" b="38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C955E0B" w14:textId="716AED6E" w:rsidR="008626C0" w:rsidRPr="008626C0" w:rsidRDefault="008626C0" w:rsidP="008626C0">
      <w:pPr>
        <w:tabs>
          <w:tab w:val="left" w:pos="2070"/>
        </w:tabs>
        <w:autoSpaceDE w:val="0"/>
        <w:autoSpaceDN w:val="0"/>
        <w:adjustRightInd w:val="0"/>
        <w:spacing w:after="0"/>
        <w:jc w:val="center"/>
        <w:rPr>
          <w:rFonts w:ascii="Times New Roman" w:hAnsi="Times New Roman"/>
          <w:sz w:val="20"/>
          <w:szCs w:val="20"/>
          <w:lang w:val="en-MY" w:bidi="ar-SA"/>
        </w:rPr>
      </w:pPr>
      <w:r w:rsidRPr="008626C0">
        <w:rPr>
          <w:rFonts w:ascii="Times New Roman" w:hAnsi="Times New Roman"/>
          <w:sz w:val="20"/>
          <w:szCs w:val="20"/>
          <w:lang w:bidi="ar-SA"/>
        </w:rPr>
        <w:t xml:space="preserve">Figure 8(a). </w:t>
      </w:r>
      <w:r w:rsidR="00671099">
        <w:rPr>
          <w:rFonts w:ascii="Times New Roman" w:hAnsi="Times New Roman"/>
          <w:sz w:val="20"/>
          <w:szCs w:val="20"/>
          <w:lang w:bidi="ar-SA"/>
        </w:rPr>
        <w:t xml:space="preserve"> </w:t>
      </w:r>
      <w:r w:rsidRPr="008626C0">
        <w:rPr>
          <w:rFonts w:ascii="Times New Roman" w:hAnsi="Times New Roman"/>
          <w:sz w:val="20"/>
          <w:szCs w:val="20"/>
          <w:lang w:bidi="ar-SA"/>
        </w:rPr>
        <w:t xml:space="preserve">Pseudo-first-order for Pb(II) adsorption kinetics onto </w:t>
      </w:r>
      <w:r w:rsidRPr="008626C0">
        <w:rPr>
          <w:rFonts w:ascii="Times New Roman" w:hAnsi="Times New Roman"/>
          <w:i/>
          <w:iCs/>
          <w:sz w:val="20"/>
          <w:szCs w:val="20"/>
          <w:lang w:bidi="ar-SA"/>
        </w:rPr>
        <w:t>E. denticulatum</w:t>
      </w:r>
    </w:p>
    <w:p w14:paraId="6DED5CB5" w14:textId="2DEEEA3C" w:rsidR="008626C0" w:rsidRDefault="008626C0" w:rsidP="00D206FC">
      <w:pPr>
        <w:spacing w:after="0"/>
        <w:rPr>
          <w:rFonts w:ascii="Times New Roman" w:hAnsi="Times New Roman"/>
          <w:noProof/>
          <w:sz w:val="20"/>
          <w:szCs w:val="20"/>
          <w:lang w:bidi="ar-SA"/>
        </w:rPr>
      </w:pPr>
    </w:p>
    <w:p w14:paraId="419CD7B0" w14:textId="77777777" w:rsidR="00D206FC" w:rsidRDefault="00D206FC" w:rsidP="00D206FC">
      <w:pPr>
        <w:spacing w:after="0"/>
        <w:rPr>
          <w:rFonts w:ascii="Times New Roman" w:hAnsi="Times New Roman"/>
          <w:noProof/>
          <w:sz w:val="20"/>
          <w:szCs w:val="20"/>
          <w:lang w:bidi="ar-SA"/>
        </w:rPr>
      </w:pPr>
    </w:p>
    <w:p w14:paraId="425944C0" w14:textId="0A7CFD9D" w:rsidR="008626C0" w:rsidRDefault="008626C0" w:rsidP="00671099">
      <w:pPr>
        <w:spacing w:after="120"/>
        <w:jc w:val="center"/>
        <w:rPr>
          <w:rFonts w:ascii="Times New Roman" w:hAnsi="Times New Roman"/>
          <w:noProof/>
          <w:sz w:val="20"/>
          <w:szCs w:val="20"/>
          <w:lang w:bidi="ar-SA"/>
        </w:rPr>
      </w:pPr>
      <w:r>
        <w:rPr>
          <w:noProof/>
        </w:rPr>
        <w:drawing>
          <wp:inline distT="0" distB="0" distL="0" distR="0" wp14:anchorId="2FBA7775" wp14:editId="5D694B52">
            <wp:extent cx="4107180" cy="2263140"/>
            <wp:effectExtent l="0" t="0" r="7620"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05884C7" w14:textId="2E238941" w:rsidR="008626C0" w:rsidRPr="008626C0" w:rsidRDefault="008626C0" w:rsidP="008626C0">
      <w:pPr>
        <w:tabs>
          <w:tab w:val="left" w:pos="2070"/>
        </w:tabs>
        <w:autoSpaceDE w:val="0"/>
        <w:autoSpaceDN w:val="0"/>
        <w:adjustRightInd w:val="0"/>
        <w:spacing w:after="0"/>
        <w:jc w:val="center"/>
        <w:rPr>
          <w:rFonts w:ascii="Times New Roman" w:hAnsi="Times New Roman"/>
          <w:sz w:val="20"/>
          <w:szCs w:val="20"/>
          <w:lang w:val="en-MY" w:bidi="ar-SA"/>
        </w:rPr>
      </w:pPr>
      <w:r w:rsidRPr="008626C0">
        <w:rPr>
          <w:rFonts w:ascii="Times New Roman" w:hAnsi="Times New Roman"/>
          <w:sz w:val="20"/>
          <w:szCs w:val="20"/>
          <w:lang w:bidi="ar-SA"/>
        </w:rPr>
        <w:t xml:space="preserve">Figure 8(b). </w:t>
      </w:r>
      <w:r w:rsidR="00671099">
        <w:rPr>
          <w:rFonts w:ascii="Times New Roman" w:hAnsi="Times New Roman"/>
          <w:sz w:val="20"/>
          <w:szCs w:val="20"/>
          <w:lang w:bidi="ar-SA"/>
        </w:rPr>
        <w:t xml:space="preserve"> </w:t>
      </w:r>
      <w:r w:rsidRPr="008626C0">
        <w:rPr>
          <w:rFonts w:ascii="Times New Roman" w:hAnsi="Times New Roman"/>
          <w:sz w:val="20"/>
          <w:szCs w:val="20"/>
          <w:lang w:bidi="ar-SA"/>
        </w:rPr>
        <w:t xml:space="preserve">Pseudo-second-order for Pb(II) adsorption kinetics onto </w:t>
      </w:r>
      <w:r w:rsidRPr="008626C0">
        <w:rPr>
          <w:rFonts w:ascii="Times New Roman" w:hAnsi="Times New Roman"/>
          <w:i/>
          <w:iCs/>
          <w:sz w:val="20"/>
          <w:szCs w:val="20"/>
          <w:lang w:bidi="ar-SA"/>
        </w:rPr>
        <w:t>E. denticulatum</w:t>
      </w:r>
    </w:p>
    <w:p w14:paraId="1C9CB3DB" w14:textId="24553E09" w:rsidR="008626C0" w:rsidRDefault="008626C0" w:rsidP="002B412F">
      <w:pPr>
        <w:spacing w:after="0"/>
        <w:jc w:val="center"/>
        <w:rPr>
          <w:rFonts w:ascii="Times New Roman" w:hAnsi="Times New Roman"/>
          <w:noProof/>
          <w:sz w:val="20"/>
          <w:szCs w:val="20"/>
          <w:lang w:bidi="ar-SA"/>
        </w:rPr>
      </w:pPr>
    </w:p>
    <w:p w14:paraId="75399451" w14:textId="77777777" w:rsidR="00671099" w:rsidRDefault="00671099" w:rsidP="002B412F">
      <w:pPr>
        <w:spacing w:after="0"/>
        <w:jc w:val="center"/>
        <w:rPr>
          <w:rFonts w:ascii="Times New Roman" w:hAnsi="Times New Roman"/>
          <w:noProof/>
          <w:sz w:val="20"/>
          <w:szCs w:val="20"/>
          <w:lang w:bidi="ar-SA"/>
        </w:rPr>
      </w:pPr>
    </w:p>
    <w:p w14:paraId="24A7779F" w14:textId="393B55EF" w:rsidR="00671099" w:rsidRDefault="00FC3B05" w:rsidP="00FC3B05">
      <w:pPr>
        <w:keepNext/>
        <w:keepLines/>
        <w:tabs>
          <w:tab w:val="left" w:pos="0"/>
        </w:tabs>
        <w:spacing w:after="0"/>
        <w:jc w:val="center"/>
        <w:outlineLvl w:val="2"/>
        <w:rPr>
          <w:rFonts w:ascii="Times New Roman" w:eastAsia="Calibri" w:hAnsi="Times New Roman"/>
          <w:bCs/>
          <w:iCs/>
          <w:sz w:val="20"/>
          <w:szCs w:val="20"/>
          <w:lang w:eastAsia="ja-JP" w:bidi="ar-SA"/>
        </w:rPr>
      </w:pPr>
      <w:r w:rsidRPr="00FC3B05">
        <w:rPr>
          <w:rFonts w:ascii="Times New Roman" w:eastAsia="Calibri" w:hAnsi="Times New Roman"/>
          <w:iCs/>
          <w:sz w:val="20"/>
          <w:szCs w:val="20"/>
          <w:lang w:bidi="ar-SA"/>
        </w:rPr>
        <w:t>Table 2.</w:t>
      </w:r>
      <w:r w:rsidRPr="00FC3B05">
        <w:rPr>
          <w:rFonts w:ascii="Times New Roman" w:eastAsia="Calibri" w:hAnsi="Times New Roman"/>
          <w:b/>
          <w:bCs/>
          <w:iCs/>
          <w:sz w:val="20"/>
          <w:szCs w:val="20"/>
          <w:lang w:bidi="ar-SA"/>
        </w:rPr>
        <w:t xml:space="preserve"> </w:t>
      </w:r>
      <w:r w:rsidR="00671099">
        <w:rPr>
          <w:rFonts w:ascii="Times New Roman" w:eastAsia="Calibri" w:hAnsi="Times New Roman"/>
          <w:b/>
          <w:bCs/>
          <w:iCs/>
          <w:sz w:val="20"/>
          <w:szCs w:val="20"/>
          <w:lang w:bidi="ar-SA"/>
        </w:rPr>
        <w:t xml:space="preserve"> </w:t>
      </w:r>
      <w:r w:rsidRPr="00FC3B05">
        <w:rPr>
          <w:rFonts w:ascii="Times New Roman" w:eastAsia="Calibri" w:hAnsi="Times New Roman"/>
          <w:bCs/>
          <w:iCs/>
          <w:sz w:val="20"/>
          <w:szCs w:val="20"/>
          <w:lang w:eastAsia="ja-JP" w:bidi="ar-SA"/>
        </w:rPr>
        <w:t xml:space="preserve">The pseudo-first-order and pseudo-second-order kinetics parameters and correlation coefficients </w:t>
      </w:r>
    </w:p>
    <w:p w14:paraId="76BEAFE2" w14:textId="3CFBD858" w:rsidR="00FC3B05" w:rsidRPr="00FC3B05" w:rsidRDefault="00FC3B05" w:rsidP="00671099">
      <w:pPr>
        <w:keepNext/>
        <w:keepLines/>
        <w:tabs>
          <w:tab w:val="left" w:pos="0"/>
        </w:tabs>
        <w:spacing w:after="120"/>
        <w:jc w:val="center"/>
        <w:outlineLvl w:val="2"/>
        <w:rPr>
          <w:rFonts w:ascii="Times New Roman" w:eastAsia="Calibri" w:hAnsi="Times New Roman"/>
          <w:bCs/>
          <w:i/>
          <w:iCs/>
          <w:sz w:val="20"/>
          <w:szCs w:val="20"/>
          <w:lang w:eastAsia="ja-JP" w:bidi="ar-SA"/>
        </w:rPr>
      </w:pPr>
      <w:r w:rsidRPr="00FC3B05">
        <w:rPr>
          <w:rFonts w:ascii="Times New Roman" w:eastAsia="Calibri" w:hAnsi="Times New Roman"/>
          <w:bCs/>
          <w:iCs/>
          <w:sz w:val="20"/>
          <w:szCs w:val="20"/>
          <w:lang w:eastAsia="ja-JP" w:bidi="ar-SA"/>
        </w:rPr>
        <w:t xml:space="preserve">for the Pb (II) adsorption kinetics onto </w:t>
      </w:r>
      <w:r w:rsidRPr="00FC3B05">
        <w:rPr>
          <w:rFonts w:ascii="Times New Roman" w:eastAsia="Calibri" w:hAnsi="Times New Roman"/>
          <w:i/>
          <w:iCs/>
          <w:sz w:val="20"/>
          <w:szCs w:val="20"/>
          <w:lang w:eastAsia="ja-JP" w:bidi="ar-SA"/>
        </w:rPr>
        <w:t>E.</w:t>
      </w:r>
      <w:r w:rsidRPr="00FC3B05">
        <w:rPr>
          <w:rFonts w:ascii="Times New Roman" w:eastAsia="Calibri" w:hAnsi="Times New Roman"/>
          <w:bCs/>
          <w:i/>
          <w:iCs/>
          <w:sz w:val="20"/>
          <w:szCs w:val="20"/>
          <w:lang w:eastAsia="ja-JP" w:bidi="ar-SA"/>
        </w:rPr>
        <w:t xml:space="preserve"> denticulatum</w:t>
      </w:r>
    </w:p>
    <w:tbl>
      <w:tblPr>
        <w:tblStyle w:val="PlainTable21"/>
        <w:tblW w:w="0" w:type="auto"/>
        <w:jc w:val="center"/>
        <w:tblLook w:val="04A0" w:firstRow="1" w:lastRow="0" w:firstColumn="1" w:lastColumn="0" w:noHBand="0" w:noVBand="1"/>
      </w:tblPr>
      <w:tblGrid>
        <w:gridCol w:w="1471"/>
        <w:gridCol w:w="1214"/>
        <w:gridCol w:w="965"/>
        <w:gridCol w:w="1555"/>
        <w:gridCol w:w="1305"/>
        <w:gridCol w:w="1210"/>
      </w:tblGrid>
      <w:tr w:rsidR="00FC3B05" w:rsidRPr="00FC3B05" w14:paraId="7A8471EF" w14:textId="77777777" w:rsidTr="00D206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50" w:type="dxa"/>
            <w:gridSpan w:val="3"/>
            <w:tcBorders>
              <w:top w:val="single" w:sz="4" w:space="0" w:color="auto"/>
              <w:bottom w:val="single" w:sz="4" w:space="0" w:color="auto"/>
              <w:right w:val="nil"/>
            </w:tcBorders>
          </w:tcPr>
          <w:p w14:paraId="0C6E5D87" w14:textId="77777777" w:rsidR="00FC3B05" w:rsidRPr="00FC3B05" w:rsidRDefault="00FC3B05" w:rsidP="00671099">
            <w:pPr>
              <w:spacing w:before="60" w:after="0"/>
              <w:jc w:val="center"/>
              <w:rPr>
                <w:rFonts w:ascii="Times New Roman" w:eastAsia="MS Mincho" w:hAnsi="Times New Roman"/>
                <w:sz w:val="20"/>
                <w:szCs w:val="20"/>
                <w:lang w:bidi="ar-SA"/>
              </w:rPr>
            </w:pPr>
            <w:r w:rsidRPr="00FC3B05">
              <w:rPr>
                <w:rFonts w:ascii="Times New Roman" w:eastAsia="MS Mincho" w:hAnsi="Times New Roman"/>
                <w:sz w:val="20"/>
                <w:szCs w:val="20"/>
                <w:lang w:bidi="ar-SA"/>
              </w:rPr>
              <w:t>Pseudo-first-order kinetics</w:t>
            </w:r>
          </w:p>
        </w:tc>
        <w:tc>
          <w:tcPr>
            <w:tcW w:w="4070" w:type="dxa"/>
            <w:gridSpan w:val="3"/>
            <w:tcBorders>
              <w:top w:val="single" w:sz="4" w:space="0" w:color="auto"/>
              <w:left w:val="nil"/>
              <w:bottom w:val="single" w:sz="4" w:space="0" w:color="auto"/>
            </w:tcBorders>
          </w:tcPr>
          <w:p w14:paraId="0106BCC5" w14:textId="77777777" w:rsidR="00FC3B05" w:rsidRPr="00FC3B05" w:rsidRDefault="00FC3B05" w:rsidP="00671099">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Pseudo-second-order kinetics</w:t>
            </w:r>
          </w:p>
        </w:tc>
      </w:tr>
      <w:tr w:rsidR="00FC3B05" w:rsidRPr="00FC3B05" w14:paraId="5A7A2A6C" w14:textId="77777777" w:rsidTr="00D206FC">
        <w:trPr>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auto"/>
              <w:left w:val="nil"/>
              <w:bottom w:val="single" w:sz="4" w:space="0" w:color="auto"/>
              <w:right w:val="nil"/>
            </w:tcBorders>
          </w:tcPr>
          <w:p w14:paraId="4613C9A6" w14:textId="77777777" w:rsidR="00FC3B05" w:rsidRPr="00D206FC" w:rsidRDefault="00FC3B05" w:rsidP="00671099">
            <w:pPr>
              <w:spacing w:after="60" w:line="240" w:lineRule="auto"/>
              <w:jc w:val="center"/>
              <w:rPr>
                <w:rFonts w:ascii="Times New Roman" w:eastAsia="MS Mincho" w:hAnsi="Times New Roman"/>
                <w:b w:val="0"/>
                <w:bCs w:val="0"/>
                <w:lang w:bidi="ar-SA"/>
              </w:rPr>
            </w:pPr>
            <w:r w:rsidRPr="00D206FC">
              <w:rPr>
                <w:rFonts w:ascii="Times New Roman" w:eastAsia="MS Mincho" w:hAnsi="Times New Roman"/>
                <w:b w:val="0"/>
                <w:bCs w:val="0"/>
                <w:lang w:bidi="ar-SA"/>
              </w:rPr>
              <w:t>K</w:t>
            </w:r>
            <w:r w:rsidRPr="00D206FC">
              <w:rPr>
                <w:rFonts w:ascii="Times New Roman" w:eastAsia="MS Mincho" w:hAnsi="Times New Roman"/>
                <w:b w:val="0"/>
                <w:bCs w:val="0"/>
                <w:vertAlign w:val="subscript"/>
                <w:lang w:bidi="ar-SA"/>
              </w:rPr>
              <w:t>1</w:t>
            </w:r>
            <w:r w:rsidRPr="00D206FC">
              <w:rPr>
                <w:rFonts w:ascii="Times New Roman" w:eastAsia="MS Mincho" w:hAnsi="Times New Roman"/>
                <w:b w:val="0"/>
                <w:bCs w:val="0"/>
                <w:lang w:bidi="ar-SA"/>
              </w:rPr>
              <w:t xml:space="preserve"> (min</w:t>
            </w:r>
            <w:r w:rsidRPr="00D206FC">
              <w:rPr>
                <w:rFonts w:ascii="Times New Roman" w:eastAsia="MS Mincho" w:hAnsi="Times New Roman"/>
                <w:b w:val="0"/>
                <w:bCs w:val="0"/>
                <w:vertAlign w:val="superscript"/>
                <w:lang w:bidi="ar-SA"/>
              </w:rPr>
              <w:t>-1</w:t>
            </w:r>
            <w:r w:rsidRPr="00D206FC">
              <w:rPr>
                <w:rFonts w:ascii="Times New Roman" w:eastAsia="MS Mincho" w:hAnsi="Times New Roman"/>
                <w:b w:val="0"/>
                <w:bCs w:val="0"/>
                <w:lang w:bidi="ar-SA"/>
              </w:rPr>
              <w:t>)</w:t>
            </w:r>
          </w:p>
        </w:tc>
        <w:tc>
          <w:tcPr>
            <w:tcW w:w="1214" w:type="dxa"/>
            <w:tcBorders>
              <w:top w:val="single" w:sz="4" w:space="0" w:color="auto"/>
              <w:left w:val="nil"/>
              <w:bottom w:val="single" w:sz="4" w:space="0" w:color="auto"/>
              <w:right w:val="nil"/>
            </w:tcBorders>
          </w:tcPr>
          <w:p w14:paraId="002BB302" w14:textId="77777777" w:rsidR="00FC3B05" w:rsidRPr="00FC3B05" w:rsidRDefault="00FC3B05" w:rsidP="00671099">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qe (mg g</w:t>
            </w:r>
            <w:r w:rsidRPr="00FC3B05">
              <w:rPr>
                <w:rFonts w:ascii="Times New Roman" w:eastAsia="MS Mincho" w:hAnsi="Times New Roman"/>
                <w:sz w:val="20"/>
                <w:szCs w:val="20"/>
                <w:vertAlign w:val="superscript"/>
                <w:lang w:bidi="ar-SA"/>
              </w:rPr>
              <w:t>-1</w:t>
            </w:r>
            <w:r w:rsidRPr="00FC3B05">
              <w:rPr>
                <w:rFonts w:ascii="Times New Roman" w:eastAsia="MS Mincho" w:hAnsi="Times New Roman"/>
                <w:sz w:val="20"/>
                <w:szCs w:val="20"/>
                <w:lang w:bidi="ar-SA"/>
              </w:rPr>
              <w:t>)</w:t>
            </w:r>
          </w:p>
        </w:tc>
        <w:tc>
          <w:tcPr>
            <w:tcW w:w="965" w:type="dxa"/>
            <w:tcBorders>
              <w:top w:val="single" w:sz="4" w:space="0" w:color="auto"/>
              <w:left w:val="nil"/>
              <w:bottom w:val="single" w:sz="4" w:space="0" w:color="auto"/>
              <w:right w:val="nil"/>
            </w:tcBorders>
          </w:tcPr>
          <w:p w14:paraId="277F1511" w14:textId="77777777" w:rsidR="00FC3B05" w:rsidRPr="00FC3B05" w:rsidRDefault="00FC3B05" w:rsidP="00671099">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R</w:t>
            </w:r>
            <w:r w:rsidRPr="00FC3B05">
              <w:rPr>
                <w:rFonts w:ascii="Times New Roman" w:eastAsia="MS Mincho" w:hAnsi="Times New Roman"/>
                <w:sz w:val="20"/>
                <w:szCs w:val="20"/>
                <w:vertAlign w:val="superscript"/>
                <w:lang w:bidi="ar-SA"/>
              </w:rPr>
              <w:t>2</w:t>
            </w:r>
          </w:p>
        </w:tc>
        <w:tc>
          <w:tcPr>
            <w:tcW w:w="1555" w:type="dxa"/>
            <w:tcBorders>
              <w:top w:val="single" w:sz="4" w:space="0" w:color="auto"/>
              <w:left w:val="nil"/>
              <w:bottom w:val="single" w:sz="4" w:space="0" w:color="auto"/>
              <w:right w:val="nil"/>
            </w:tcBorders>
          </w:tcPr>
          <w:p w14:paraId="5157EFA3" w14:textId="77777777" w:rsidR="00FC3B05" w:rsidRPr="00FC3B05" w:rsidRDefault="00FC3B05" w:rsidP="00671099">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K</w:t>
            </w:r>
            <w:r w:rsidRPr="00FC3B05">
              <w:rPr>
                <w:rFonts w:ascii="Times New Roman" w:eastAsia="MS Mincho" w:hAnsi="Times New Roman"/>
                <w:sz w:val="20"/>
                <w:szCs w:val="20"/>
                <w:vertAlign w:val="subscript"/>
                <w:lang w:bidi="ar-SA"/>
              </w:rPr>
              <w:t>2</w:t>
            </w:r>
            <w:r w:rsidRPr="00FC3B05">
              <w:rPr>
                <w:rFonts w:ascii="Times New Roman" w:eastAsia="MS Mincho" w:hAnsi="Times New Roman"/>
                <w:sz w:val="20"/>
                <w:szCs w:val="20"/>
                <w:lang w:bidi="ar-SA"/>
              </w:rPr>
              <w:t xml:space="preserve"> (g mg</w:t>
            </w:r>
            <w:r w:rsidRPr="00FC3B05">
              <w:rPr>
                <w:rFonts w:ascii="Times New Roman" w:eastAsia="MS Mincho" w:hAnsi="Times New Roman"/>
                <w:sz w:val="20"/>
                <w:szCs w:val="20"/>
                <w:vertAlign w:val="superscript"/>
                <w:lang w:bidi="ar-SA"/>
              </w:rPr>
              <w:t>-1</w:t>
            </w:r>
            <w:r w:rsidRPr="00FC3B05">
              <w:rPr>
                <w:rFonts w:ascii="Times New Roman" w:eastAsia="MS Mincho" w:hAnsi="Times New Roman"/>
                <w:sz w:val="20"/>
                <w:szCs w:val="20"/>
                <w:lang w:bidi="ar-SA"/>
              </w:rPr>
              <w:t>min</w:t>
            </w:r>
            <w:r w:rsidRPr="00FC3B05">
              <w:rPr>
                <w:rFonts w:ascii="Times New Roman" w:eastAsia="MS Mincho" w:hAnsi="Times New Roman"/>
                <w:sz w:val="20"/>
                <w:szCs w:val="20"/>
                <w:vertAlign w:val="superscript"/>
                <w:lang w:bidi="ar-SA"/>
              </w:rPr>
              <w:t>-1</w:t>
            </w:r>
            <w:r w:rsidRPr="00FC3B05">
              <w:rPr>
                <w:rFonts w:ascii="Times New Roman" w:eastAsia="MS Mincho" w:hAnsi="Times New Roman"/>
                <w:sz w:val="20"/>
                <w:szCs w:val="20"/>
                <w:lang w:bidi="ar-SA"/>
              </w:rPr>
              <w:t>)</w:t>
            </w:r>
          </w:p>
        </w:tc>
        <w:tc>
          <w:tcPr>
            <w:tcW w:w="1305" w:type="dxa"/>
            <w:tcBorders>
              <w:top w:val="single" w:sz="4" w:space="0" w:color="auto"/>
              <w:left w:val="nil"/>
              <w:bottom w:val="single" w:sz="4" w:space="0" w:color="auto"/>
              <w:right w:val="nil"/>
            </w:tcBorders>
          </w:tcPr>
          <w:p w14:paraId="35912CDD" w14:textId="77777777" w:rsidR="00FC3B05" w:rsidRPr="00FC3B05" w:rsidRDefault="00FC3B05" w:rsidP="00671099">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q</w:t>
            </w:r>
            <w:r w:rsidRPr="00FC3B05">
              <w:rPr>
                <w:rFonts w:ascii="Times New Roman" w:eastAsia="MS Mincho" w:hAnsi="Times New Roman"/>
                <w:sz w:val="20"/>
                <w:szCs w:val="20"/>
                <w:vertAlign w:val="subscript"/>
                <w:lang w:bidi="ar-SA"/>
              </w:rPr>
              <w:t>e</w:t>
            </w:r>
            <w:r w:rsidRPr="00FC3B05">
              <w:rPr>
                <w:rFonts w:ascii="Times New Roman" w:eastAsia="MS Mincho" w:hAnsi="Times New Roman"/>
                <w:sz w:val="20"/>
                <w:szCs w:val="20"/>
                <w:lang w:bidi="ar-SA"/>
              </w:rPr>
              <w:t xml:space="preserve"> (mg g</w:t>
            </w:r>
            <w:r w:rsidRPr="00FC3B05">
              <w:rPr>
                <w:rFonts w:ascii="Times New Roman" w:eastAsia="MS Mincho" w:hAnsi="Times New Roman"/>
                <w:sz w:val="20"/>
                <w:szCs w:val="20"/>
                <w:vertAlign w:val="superscript"/>
                <w:lang w:bidi="ar-SA"/>
              </w:rPr>
              <w:t>-1</w:t>
            </w:r>
            <w:r w:rsidRPr="00FC3B05">
              <w:rPr>
                <w:rFonts w:ascii="Times New Roman" w:eastAsia="MS Mincho" w:hAnsi="Times New Roman"/>
                <w:sz w:val="20"/>
                <w:szCs w:val="20"/>
                <w:lang w:bidi="ar-SA"/>
              </w:rPr>
              <w:t>)</w:t>
            </w:r>
          </w:p>
        </w:tc>
        <w:tc>
          <w:tcPr>
            <w:tcW w:w="1210" w:type="dxa"/>
            <w:tcBorders>
              <w:top w:val="single" w:sz="4" w:space="0" w:color="auto"/>
              <w:left w:val="nil"/>
              <w:bottom w:val="single" w:sz="4" w:space="0" w:color="auto"/>
              <w:right w:val="nil"/>
            </w:tcBorders>
          </w:tcPr>
          <w:p w14:paraId="1D72DC4D" w14:textId="77777777" w:rsidR="00FC3B05" w:rsidRPr="00FC3B05" w:rsidRDefault="00FC3B05" w:rsidP="00671099">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vertAlign w:val="superscript"/>
                <w:lang w:bidi="ar-SA"/>
              </w:rPr>
            </w:pPr>
            <w:r w:rsidRPr="00FC3B05">
              <w:rPr>
                <w:rFonts w:ascii="Times New Roman" w:eastAsia="MS Mincho" w:hAnsi="Times New Roman"/>
                <w:sz w:val="20"/>
                <w:szCs w:val="20"/>
                <w:lang w:bidi="ar-SA"/>
              </w:rPr>
              <w:t>R</w:t>
            </w:r>
            <w:r w:rsidRPr="00FC3B05">
              <w:rPr>
                <w:rFonts w:ascii="Times New Roman" w:eastAsia="MS Mincho" w:hAnsi="Times New Roman"/>
                <w:sz w:val="20"/>
                <w:szCs w:val="20"/>
                <w:vertAlign w:val="superscript"/>
                <w:lang w:bidi="ar-SA"/>
              </w:rPr>
              <w:t>2</w:t>
            </w:r>
          </w:p>
        </w:tc>
      </w:tr>
      <w:tr w:rsidR="00FC3B05" w:rsidRPr="00FC3B05" w14:paraId="6D0BD8D6" w14:textId="77777777" w:rsidTr="00D206FC">
        <w:trPr>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auto"/>
              <w:left w:val="nil"/>
              <w:bottom w:val="single" w:sz="4" w:space="0" w:color="auto"/>
              <w:right w:val="nil"/>
            </w:tcBorders>
          </w:tcPr>
          <w:p w14:paraId="1BBA50C5" w14:textId="5B165049" w:rsidR="00FC3B05" w:rsidRPr="00D206FC" w:rsidRDefault="00FC3B05" w:rsidP="00D206FC">
            <w:pPr>
              <w:spacing w:before="60" w:after="60" w:line="240" w:lineRule="auto"/>
              <w:jc w:val="center"/>
              <w:rPr>
                <w:rFonts w:ascii="Times New Roman" w:eastAsia="MS Mincho" w:hAnsi="Times New Roman"/>
                <w:b w:val="0"/>
                <w:bCs w:val="0"/>
                <w:lang w:bidi="ar-SA"/>
              </w:rPr>
            </w:pPr>
            <w:r w:rsidRPr="00D206FC">
              <w:rPr>
                <w:rFonts w:ascii="Times New Roman" w:eastAsia="MS Mincho" w:hAnsi="Times New Roman"/>
                <w:b w:val="0"/>
                <w:bCs w:val="0"/>
                <w:lang w:bidi="ar-SA"/>
              </w:rPr>
              <w:t>20.0237</w:t>
            </w:r>
          </w:p>
        </w:tc>
        <w:tc>
          <w:tcPr>
            <w:tcW w:w="1214" w:type="dxa"/>
            <w:tcBorders>
              <w:top w:val="single" w:sz="4" w:space="0" w:color="auto"/>
              <w:left w:val="nil"/>
              <w:bottom w:val="single" w:sz="4" w:space="0" w:color="auto"/>
              <w:right w:val="nil"/>
            </w:tcBorders>
          </w:tcPr>
          <w:p w14:paraId="55B95FBF" w14:textId="77777777" w:rsidR="00FC3B05" w:rsidRPr="00FC3B05" w:rsidRDefault="00FC3B05" w:rsidP="00D206F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2.801</w:t>
            </w:r>
          </w:p>
        </w:tc>
        <w:tc>
          <w:tcPr>
            <w:tcW w:w="965" w:type="dxa"/>
            <w:tcBorders>
              <w:top w:val="single" w:sz="4" w:space="0" w:color="auto"/>
              <w:left w:val="nil"/>
              <w:bottom w:val="single" w:sz="4" w:space="0" w:color="auto"/>
              <w:right w:val="nil"/>
            </w:tcBorders>
          </w:tcPr>
          <w:p w14:paraId="439AF57B" w14:textId="77777777" w:rsidR="00FC3B05" w:rsidRPr="00FC3B05" w:rsidRDefault="00FC3B05" w:rsidP="00D206F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0.911</w:t>
            </w:r>
          </w:p>
        </w:tc>
        <w:tc>
          <w:tcPr>
            <w:tcW w:w="1555" w:type="dxa"/>
            <w:tcBorders>
              <w:top w:val="single" w:sz="4" w:space="0" w:color="auto"/>
              <w:left w:val="nil"/>
              <w:bottom w:val="single" w:sz="4" w:space="0" w:color="auto"/>
              <w:right w:val="nil"/>
            </w:tcBorders>
          </w:tcPr>
          <w:p w14:paraId="2AC85A62" w14:textId="77777777" w:rsidR="00FC3B05" w:rsidRPr="00FC3B05" w:rsidRDefault="00FC3B05" w:rsidP="00D206F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0.0148</w:t>
            </w:r>
          </w:p>
        </w:tc>
        <w:tc>
          <w:tcPr>
            <w:tcW w:w="1305" w:type="dxa"/>
            <w:tcBorders>
              <w:top w:val="single" w:sz="4" w:space="0" w:color="auto"/>
              <w:left w:val="nil"/>
              <w:bottom w:val="single" w:sz="4" w:space="0" w:color="auto"/>
              <w:right w:val="nil"/>
            </w:tcBorders>
          </w:tcPr>
          <w:p w14:paraId="63402E40" w14:textId="77777777" w:rsidR="00FC3B05" w:rsidRPr="00FC3B05" w:rsidRDefault="00FC3B05" w:rsidP="00D206F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4.3802</w:t>
            </w:r>
          </w:p>
        </w:tc>
        <w:tc>
          <w:tcPr>
            <w:tcW w:w="1210" w:type="dxa"/>
            <w:tcBorders>
              <w:top w:val="single" w:sz="4" w:space="0" w:color="auto"/>
              <w:left w:val="nil"/>
              <w:bottom w:val="single" w:sz="4" w:space="0" w:color="auto"/>
              <w:right w:val="nil"/>
            </w:tcBorders>
          </w:tcPr>
          <w:p w14:paraId="303B467C" w14:textId="77777777" w:rsidR="00FC3B05" w:rsidRPr="00FC3B05" w:rsidRDefault="00FC3B05" w:rsidP="00D206FC">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20"/>
                <w:szCs w:val="20"/>
                <w:lang w:bidi="ar-SA"/>
              </w:rPr>
            </w:pPr>
            <w:r w:rsidRPr="00FC3B05">
              <w:rPr>
                <w:rFonts w:ascii="Times New Roman" w:eastAsia="MS Mincho" w:hAnsi="Times New Roman"/>
                <w:sz w:val="20"/>
                <w:szCs w:val="20"/>
                <w:lang w:bidi="ar-SA"/>
              </w:rPr>
              <w:t>0.998</w:t>
            </w:r>
          </w:p>
        </w:tc>
      </w:tr>
    </w:tbl>
    <w:p w14:paraId="17819887" w14:textId="77777777" w:rsidR="00FC3B05" w:rsidRDefault="00FC3B05" w:rsidP="002B412F">
      <w:pPr>
        <w:spacing w:after="0"/>
        <w:jc w:val="center"/>
        <w:rPr>
          <w:rFonts w:ascii="Times New Roman" w:hAnsi="Times New Roman"/>
          <w:noProof/>
          <w:sz w:val="20"/>
          <w:szCs w:val="20"/>
          <w:lang w:bidi="ar-SA"/>
        </w:rPr>
      </w:pPr>
    </w:p>
    <w:p w14:paraId="668B49A5" w14:textId="77777777" w:rsidR="00E97102" w:rsidRDefault="00E97102" w:rsidP="002B412F">
      <w:pPr>
        <w:spacing w:after="0"/>
        <w:jc w:val="center"/>
        <w:rPr>
          <w:rFonts w:ascii="Times New Roman" w:hAnsi="Times New Roman"/>
          <w:noProof/>
          <w:sz w:val="20"/>
          <w:szCs w:val="20"/>
          <w:lang w:bidi="ar-SA"/>
        </w:rPr>
      </w:pPr>
    </w:p>
    <w:p w14:paraId="0B40B6B2" w14:textId="61C53B92" w:rsidR="00E97102" w:rsidRDefault="00E97102" w:rsidP="002B412F">
      <w:pPr>
        <w:spacing w:after="0"/>
        <w:jc w:val="center"/>
        <w:rPr>
          <w:rFonts w:ascii="Times New Roman" w:hAnsi="Times New Roman"/>
          <w:noProof/>
          <w:sz w:val="20"/>
          <w:szCs w:val="20"/>
          <w:lang w:bidi="ar-SA"/>
        </w:rPr>
        <w:sectPr w:rsidR="00E97102" w:rsidSect="00AD4216">
          <w:footerReference w:type="even" r:id="rId29"/>
          <w:type w:val="continuous"/>
          <w:pgSz w:w="12240" w:h="15840" w:code="1"/>
          <w:pgMar w:top="1800" w:right="1469" w:bottom="1699" w:left="1440" w:header="706" w:footer="706" w:gutter="0"/>
          <w:pgNumType w:start="1"/>
          <w:cols w:space="708"/>
          <w:docGrid w:linePitch="360"/>
        </w:sectPr>
      </w:pPr>
    </w:p>
    <w:p w14:paraId="7A08B779" w14:textId="77777777" w:rsidR="00FC3B05" w:rsidRPr="00FC3B05" w:rsidRDefault="00FC3B05" w:rsidP="009D47A9">
      <w:pPr>
        <w:keepNext/>
        <w:keepLines/>
        <w:spacing w:after="0"/>
        <w:jc w:val="center"/>
        <w:outlineLvl w:val="0"/>
        <w:rPr>
          <w:rFonts w:ascii="Times New Roman" w:hAnsi="Times New Roman"/>
          <w:b/>
          <w:bCs/>
          <w:sz w:val="20"/>
          <w:szCs w:val="20"/>
          <w:lang w:bidi="ar-SA"/>
        </w:rPr>
      </w:pPr>
      <w:bookmarkStart w:id="46" w:name="_Toc365535296"/>
      <w:bookmarkStart w:id="47" w:name="_Toc362167016"/>
      <w:bookmarkStart w:id="48" w:name="_Toc361714586"/>
      <w:r w:rsidRPr="00FC3B05">
        <w:rPr>
          <w:rFonts w:ascii="Times New Roman" w:hAnsi="Times New Roman"/>
          <w:b/>
          <w:bCs/>
          <w:sz w:val="20"/>
          <w:szCs w:val="20"/>
          <w:lang w:bidi="ar-SA"/>
        </w:rPr>
        <w:t>C</w:t>
      </w:r>
      <w:bookmarkEnd w:id="46"/>
      <w:bookmarkEnd w:id="47"/>
      <w:bookmarkEnd w:id="48"/>
      <w:r w:rsidRPr="00FC3B05">
        <w:rPr>
          <w:rFonts w:ascii="Times New Roman" w:hAnsi="Times New Roman"/>
          <w:b/>
          <w:bCs/>
          <w:sz w:val="20"/>
          <w:szCs w:val="20"/>
          <w:lang w:bidi="ar-SA"/>
        </w:rPr>
        <w:t>onclusion</w:t>
      </w:r>
    </w:p>
    <w:p w14:paraId="3B7390B9" w14:textId="17BC4E5F" w:rsidR="00FC3B05" w:rsidRDefault="00FC3B05" w:rsidP="00FC3B05">
      <w:pPr>
        <w:spacing w:after="0"/>
        <w:jc w:val="both"/>
        <w:rPr>
          <w:rFonts w:ascii="Times New Roman" w:hAnsi="Times New Roman" w:cs="Arial"/>
          <w:iCs/>
          <w:sz w:val="20"/>
          <w:szCs w:val="20"/>
          <w:lang w:bidi="ar-SA"/>
        </w:rPr>
      </w:pPr>
      <w:r w:rsidRPr="00FC3B05">
        <w:rPr>
          <w:rFonts w:ascii="Times New Roman" w:hAnsi="Times New Roman" w:cs="Arial"/>
          <w:sz w:val="20"/>
          <w:szCs w:val="20"/>
          <w:lang w:bidi="ar-SA"/>
        </w:rPr>
        <w:t xml:space="preserve">The present study demonstrated that the seaweed </w:t>
      </w:r>
      <w:r w:rsidRPr="00FC3B05">
        <w:rPr>
          <w:rFonts w:ascii="Times New Roman" w:hAnsi="Times New Roman" w:cs="Arial"/>
          <w:i/>
          <w:iCs/>
          <w:sz w:val="20"/>
          <w:szCs w:val="20"/>
          <w:lang w:bidi="ar-SA"/>
        </w:rPr>
        <w:t>E. denticulatum</w:t>
      </w:r>
      <w:r w:rsidRPr="00FC3B05">
        <w:rPr>
          <w:rFonts w:ascii="Times New Roman" w:hAnsi="Times New Roman" w:cs="Arial"/>
          <w:i/>
          <w:sz w:val="20"/>
          <w:szCs w:val="20"/>
          <w:lang w:bidi="ar-SA"/>
        </w:rPr>
        <w:t xml:space="preserve"> </w:t>
      </w:r>
      <w:r w:rsidRPr="00FC3B05">
        <w:rPr>
          <w:rFonts w:ascii="Times New Roman" w:hAnsi="Times New Roman" w:cs="Arial"/>
          <w:iCs/>
          <w:sz w:val="20"/>
          <w:szCs w:val="20"/>
          <w:lang w:bidi="ar-SA"/>
        </w:rPr>
        <w:t>was an effective biosorbent of Pb</w:t>
      </w:r>
      <w:r w:rsidRPr="00FC3B05">
        <w:rPr>
          <w:rFonts w:ascii="Times New Roman" w:hAnsi="Times New Roman" w:cs="Arial"/>
          <w:iCs/>
          <w:sz w:val="20"/>
          <w:szCs w:val="20"/>
          <w:vertAlign w:val="superscript"/>
          <w:lang w:bidi="ar-SA"/>
        </w:rPr>
        <w:t>2+</w:t>
      </w:r>
      <w:r w:rsidRPr="00FC3B05">
        <w:rPr>
          <w:rFonts w:ascii="Times New Roman" w:hAnsi="Times New Roman" w:cs="Arial"/>
          <w:iCs/>
          <w:sz w:val="20"/>
          <w:szCs w:val="20"/>
          <w:lang w:bidi="ar-SA"/>
        </w:rPr>
        <w:t xml:space="preserve"> from aqueous solutions. The availability of biomass and its </w:t>
      </w:r>
      <w:r w:rsidRPr="00FC3B05">
        <w:rPr>
          <w:rFonts w:ascii="Times New Roman" w:hAnsi="Times New Roman" w:cs="Arial"/>
          <w:iCs/>
          <w:sz w:val="20"/>
          <w:szCs w:val="20"/>
          <w:lang w:bidi="ar-SA"/>
        </w:rPr>
        <w:t xml:space="preserve">cost-effectiveness are additional benefits that make it a potential biosorbent for </w:t>
      </w:r>
      <w:r w:rsidRPr="00FC3B05">
        <w:rPr>
          <w:rFonts w:ascii="Times New Roman" w:hAnsi="Times New Roman" w:cs="Arial"/>
          <w:iCs/>
          <w:sz w:val="20"/>
          <w:szCs w:val="20"/>
          <w:lang w:val="en-MY" w:bidi="ar-SA"/>
        </w:rPr>
        <w:t xml:space="preserve">treating </w:t>
      </w:r>
      <w:r w:rsidRPr="00FC3B05">
        <w:rPr>
          <w:rFonts w:ascii="Times New Roman" w:hAnsi="Times New Roman" w:cs="Arial"/>
          <w:iCs/>
          <w:sz w:val="20"/>
          <w:szCs w:val="20"/>
          <w:lang w:bidi="ar-SA"/>
        </w:rPr>
        <w:t>heavy metals in the marine environment. The impact of processing constraints</w:t>
      </w:r>
      <w:r w:rsidRPr="00FC3B05">
        <w:rPr>
          <w:rFonts w:ascii="Times New Roman" w:hAnsi="Times New Roman" w:cs="Arial"/>
          <w:iCs/>
          <w:sz w:val="20"/>
          <w:szCs w:val="20"/>
          <w:lang w:val="en-MY" w:bidi="ar-SA"/>
        </w:rPr>
        <w:t xml:space="preserve"> -</w:t>
      </w:r>
      <w:r w:rsidRPr="00FC3B05">
        <w:rPr>
          <w:rFonts w:ascii="Times New Roman" w:hAnsi="Times New Roman" w:cs="Arial"/>
          <w:iCs/>
          <w:sz w:val="20"/>
          <w:szCs w:val="20"/>
          <w:lang w:bidi="ar-SA"/>
        </w:rPr>
        <w:t xml:space="preserve"> including pH, metal ion concentrations, and </w:t>
      </w:r>
      <w:r w:rsidRPr="00FC3B05">
        <w:rPr>
          <w:rFonts w:ascii="Times New Roman" w:hAnsi="Times New Roman" w:cs="Arial"/>
          <w:iCs/>
          <w:sz w:val="20"/>
          <w:szCs w:val="20"/>
          <w:lang w:bidi="ar-SA"/>
        </w:rPr>
        <w:lastRenderedPageBreak/>
        <w:t>absorption period</w:t>
      </w:r>
      <w:r w:rsidRPr="00FC3B05">
        <w:rPr>
          <w:rFonts w:ascii="Times New Roman" w:hAnsi="Times New Roman" w:cs="Arial"/>
          <w:iCs/>
          <w:sz w:val="20"/>
          <w:szCs w:val="20"/>
          <w:lang w:val="en-MY" w:bidi="ar-SA"/>
        </w:rPr>
        <w:t xml:space="preserve"> -</w:t>
      </w:r>
      <w:r w:rsidRPr="00FC3B05">
        <w:rPr>
          <w:rFonts w:ascii="Times New Roman" w:hAnsi="Times New Roman" w:cs="Arial"/>
          <w:iCs/>
          <w:sz w:val="20"/>
          <w:szCs w:val="20"/>
          <w:lang w:bidi="ar-SA"/>
        </w:rPr>
        <w:t xml:space="preserve"> significantly affected the equilibrium process. The Pb</w:t>
      </w:r>
      <w:r w:rsidRPr="00FC3B05">
        <w:rPr>
          <w:rFonts w:ascii="Times New Roman" w:hAnsi="Times New Roman" w:cs="Arial"/>
          <w:iCs/>
          <w:sz w:val="20"/>
          <w:szCs w:val="20"/>
          <w:vertAlign w:val="superscript"/>
          <w:lang w:bidi="ar-SA"/>
        </w:rPr>
        <w:t>2+</w:t>
      </w:r>
      <w:r w:rsidRPr="00FC3B05">
        <w:rPr>
          <w:rFonts w:ascii="Times New Roman" w:hAnsi="Times New Roman" w:cs="Arial"/>
          <w:iCs/>
          <w:sz w:val="20"/>
          <w:szCs w:val="20"/>
          <w:lang w:bidi="ar-SA"/>
        </w:rPr>
        <w:t xml:space="preserve"> uptake increased with the increase in metal ion concentration. It was also </w:t>
      </w:r>
      <w:r w:rsidRPr="00FC3B05">
        <w:rPr>
          <w:rFonts w:ascii="Times New Roman" w:hAnsi="Times New Roman" w:cs="Arial"/>
          <w:iCs/>
          <w:sz w:val="20"/>
          <w:szCs w:val="20"/>
          <w:lang w:val="en-MY" w:bidi="ar-SA"/>
        </w:rPr>
        <w:t xml:space="preserve">ascertained </w:t>
      </w:r>
      <w:r w:rsidRPr="00FC3B05">
        <w:rPr>
          <w:rFonts w:ascii="Times New Roman" w:hAnsi="Times New Roman" w:cs="Arial"/>
          <w:iCs/>
          <w:sz w:val="20"/>
          <w:szCs w:val="20"/>
          <w:lang w:bidi="ar-SA"/>
        </w:rPr>
        <w:t>that the metal uptake increased with the rise in pH until pH 4</w:t>
      </w:r>
      <w:r w:rsidRPr="00FC3B05">
        <w:rPr>
          <w:rFonts w:ascii="Times New Roman" w:hAnsi="Times New Roman" w:cs="Arial"/>
          <w:iCs/>
          <w:sz w:val="20"/>
          <w:szCs w:val="20"/>
          <w:lang w:val="en-MY" w:bidi="ar-SA"/>
        </w:rPr>
        <w:t>;</w:t>
      </w:r>
      <w:r w:rsidRPr="00FC3B05">
        <w:rPr>
          <w:rFonts w:ascii="Times New Roman" w:hAnsi="Times New Roman" w:cs="Arial"/>
          <w:iCs/>
          <w:sz w:val="20"/>
          <w:szCs w:val="20"/>
          <w:lang w:bidi="ar-SA"/>
        </w:rPr>
        <w:t xml:space="preserve"> </w:t>
      </w:r>
      <w:r w:rsidRPr="00FC3B05">
        <w:rPr>
          <w:rFonts w:ascii="Times New Roman" w:hAnsi="Times New Roman" w:cs="Arial"/>
          <w:iCs/>
          <w:sz w:val="20"/>
          <w:szCs w:val="20"/>
          <w:lang w:val="en-MY" w:bidi="ar-SA"/>
        </w:rPr>
        <w:t>t</w:t>
      </w:r>
      <w:r w:rsidRPr="00FC3B05">
        <w:rPr>
          <w:rFonts w:ascii="Times New Roman" w:hAnsi="Times New Roman" w:cs="Arial"/>
          <w:iCs/>
          <w:sz w:val="20"/>
          <w:szCs w:val="20"/>
          <w:lang w:bidi="ar-SA"/>
        </w:rPr>
        <w:t>here</w:t>
      </w:r>
      <w:r w:rsidRPr="00FC3B05">
        <w:rPr>
          <w:rFonts w:ascii="Times New Roman" w:hAnsi="Times New Roman" w:cs="Arial"/>
          <w:iCs/>
          <w:sz w:val="20"/>
          <w:szCs w:val="20"/>
          <w:lang w:val="en-MY" w:bidi="ar-SA"/>
        </w:rPr>
        <w:t>after,</w:t>
      </w:r>
      <w:r w:rsidRPr="00FC3B05">
        <w:rPr>
          <w:rFonts w:ascii="Times New Roman" w:hAnsi="Times New Roman" w:cs="Arial"/>
          <w:iCs/>
          <w:sz w:val="20"/>
          <w:szCs w:val="20"/>
          <w:lang w:bidi="ar-SA"/>
        </w:rPr>
        <w:t xml:space="preserve"> the metal uptake </w:t>
      </w:r>
      <w:r w:rsidRPr="00FC3B05">
        <w:rPr>
          <w:rFonts w:ascii="Times New Roman" w:hAnsi="Times New Roman" w:cs="Arial"/>
          <w:iCs/>
          <w:sz w:val="20"/>
          <w:szCs w:val="20"/>
          <w:lang w:val="en-MY" w:bidi="ar-SA"/>
        </w:rPr>
        <w:t xml:space="preserve">began to </w:t>
      </w:r>
      <w:r w:rsidRPr="00FC3B05">
        <w:rPr>
          <w:rFonts w:ascii="Times New Roman" w:hAnsi="Times New Roman" w:cs="Arial"/>
          <w:iCs/>
          <w:sz w:val="20"/>
          <w:szCs w:val="20"/>
          <w:lang w:bidi="ar-SA"/>
        </w:rPr>
        <w:t>declin</w:t>
      </w:r>
      <w:r w:rsidRPr="00FC3B05">
        <w:rPr>
          <w:rFonts w:ascii="Times New Roman" w:hAnsi="Times New Roman" w:cs="Arial"/>
          <w:iCs/>
          <w:sz w:val="20"/>
          <w:szCs w:val="20"/>
          <w:lang w:val="en-MY" w:bidi="ar-SA"/>
        </w:rPr>
        <w:t>e</w:t>
      </w:r>
      <w:r w:rsidRPr="00FC3B05">
        <w:rPr>
          <w:rFonts w:ascii="Times New Roman" w:hAnsi="Times New Roman" w:cs="Arial"/>
          <w:iCs/>
          <w:sz w:val="20"/>
          <w:szCs w:val="20"/>
          <w:lang w:bidi="ar-SA"/>
        </w:rPr>
        <w:t xml:space="preserve">. The Langmuir </w:t>
      </w:r>
      <w:r w:rsidRPr="00FC3B05">
        <w:rPr>
          <w:rFonts w:ascii="Times New Roman" w:hAnsi="Times New Roman" w:cs="Arial"/>
          <w:iCs/>
          <w:sz w:val="20"/>
          <w:szCs w:val="20"/>
          <w:lang w:val="en-MY" w:bidi="ar-SA"/>
        </w:rPr>
        <w:t>model might</w:t>
      </w:r>
      <w:r w:rsidRPr="00FC3B05">
        <w:rPr>
          <w:rFonts w:ascii="Times New Roman" w:hAnsi="Times New Roman" w:cs="Arial"/>
          <w:iCs/>
          <w:sz w:val="20"/>
          <w:szCs w:val="20"/>
          <w:lang w:bidi="ar-SA"/>
        </w:rPr>
        <w:t xml:space="preserve"> </w:t>
      </w:r>
      <w:r w:rsidRPr="00FC3B05">
        <w:rPr>
          <w:rFonts w:ascii="Times New Roman" w:hAnsi="Times New Roman" w:cs="Arial"/>
          <w:iCs/>
          <w:sz w:val="20"/>
          <w:szCs w:val="20"/>
          <w:lang w:val="en-MY" w:bidi="ar-SA"/>
        </w:rPr>
        <w:t xml:space="preserve">better </w:t>
      </w:r>
      <w:r w:rsidRPr="00FC3B05">
        <w:rPr>
          <w:rFonts w:ascii="Times New Roman" w:hAnsi="Times New Roman" w:cs="Arial"/>
          <w:iCs/>
          <w:sz w:val="20"/>
          <w:szCs w:val="20"/>
          <w:lang w:bidi="ar-SA"/>
        </w:rPr>
        <w:t>represent the adsorption isotherms compared to the Freundlich model. According to these findings, the seaweed</w:t>
      </w:r>
      <w:r w:rsidRPr="00FC3B05">
        <w:rPr>
          <w:rFonts w:ascii="Times New Roman" w:hAnsi="Times New Roman" w:cs="Arial"/>
          <w:i/>
          <w:sz w:val="20"/>
          <w:szCs w:val="20"/>
          <w:lang w:bidi="ar-SA"/>
        </w:rPr>
        <w:t xml:space="preserve"> E. denticulatum</w:t>
      </w:r>
      <w:r w:rsidRPr="00FC3B05">
        <w:rPr>
          <w:rFonts w:ascii="Times New Roman" w:hAnsi="Times New Roman" w:cs="Arial"/>
          <w:iCs/>
          <w:sz w:val="20"/>
          <w:szCs w:val="20"/>
          <w:lang w:bidi="ar-SA"/>
        </w:rPr>
        <w:t xml:space="preserve"> can be considered a potential biosorbent for </w:t>
      </w:r>
      <w:r w:rsidRPr="00FC3B05">
        <w:rPr>
          <w:rFonts w:ascii="Times New Roman" w:hAnsi="Times New Roman" w:cs="Arial"/>
          <w:iCs/>
          <w:sz w:val="20"/>
          <w:szCs w:val="20"/>
          <w:lang w:val="en-MY" w:bidi="ar-SA"/>
        </w:rPr>
        <w:t xml:space="preserve">removing </w:t>
      </w:r>
      <w:r w:rsidRPr="00FC3B05">
        <w:rPr>
          <w:rFonts w:ascii="Times New Roman" w:hAnsi="Times New Roman" w:cs="Arial"/>
          <w:iCs/>
          <w:sz w:val="20"/>
          <w:szCs w:val="20"/>
          <w:lang w:bidi="ar-SA"/>
        </w:rPr>
        <w:t xml:space="preserve">heavy metal from marine and coastal areas due to its high biosorption capability. </w:t>
      </w:r>
    </w:p>
    <w:p w14:paraId="2E1743F7" w14:textId="77777777" w:rsidR="00FC3B05" w:rsidRPr="00FC3B05" w:rsidRDefault="00FC3B05" w:rsidP="00D57550">
      <w:pPr>
        <w:spacing w:after="0"/>
        <w:jc w:val="center"/>
        <w:rPr>
          <w:rFonts w:ascii="Times New Roman" w:hAnsi="Times New Roman" w:cs="Arial"/>
          <w:iCs/>
          <w:sz w:val="20"/>
          <w:szCs w:val="20"/>
          <w:lang w:bidi="ar-SA"/>
        </w:rPr>
      </w:pPr>
    </w:p>
    <w:p w14:paraId="5B83D51C" w14:textId="77777777" w:rsidR="00FC3B05" w:rsidRPr="00FC3B05" w:rsidRDefault="00FC3B05" w:rsidP="00FC3B05">
      <w:pPr>
        <w:keepNext/>
        <w:keepLines/>
        <w:spacing w:after="0"/>
        <w:jc w:val="center"/>
        <w:outlineLvl w:val="0"/>
        <w:rPr>
          <w:rFonts w:ascii="Times New Roman" w:hAnsi="Times New Roman"/>
          <w:b/>
          <w:bCs/>
          <w:sz w:val="20"/>
          <w:szCs w:val="20"/>
          <w:lang w:val="en-MY" w:bidi="ar-SA"/>
        </w:rPr>
      </w:pPr>
      <w:r w:rsidRPr="00FC3B05">
        <w:rPr>
          <w:rFonts w:ascii="Times New Roman" w:hAnsi="Times New Roman"/>
          <w:b/>
          <w:bCs/>
          <w:sz w:val="20"/>
          <w:szCs w:val="20"/>
          <w:lang w:bidi="ar-SA"/>
        </w:rPr>
        <w:t>Acknowledgement</w:t>
      </w:r>
      <w:r w:rsidRPr="00FC3B05">
        <w:rPr>
          <w:rFonts w:ascii="Times New Roman" w:hAnsi="Times New Roman"/>
          <w:b/>
          <w:bCs/>
          <w:sz w:val="20"/>
          <w:szCs w:val="20"/>
          <w:lang w:val="en-MY" w:bidi="ar-SA"/>
        </w:rPr>
        <w:t>s</w:t>
      </w:r>
    </w:p>
    <w:p w14:paraId="6B936D15" w14:textId="4D973013" w:rsidR="00FC3B05" w:rsidRDefault="00FC3B05" w:rsidP="000A2EB3">
      <w:pPr>
        <w:spacing w:after="0"/>
        <w:jc w:val="both"/>
        <w:rPr>
          <w:rFonts w:ascii="Times New Roman" w:eastAsia="MS Mincho" w:hAnsi="Times New Roman"/>
          <w:sz w:val="20"/>
          <w:szCs w:val="20"/>
          <w:lang w:bidi="ar-SA"/>
        </w:rPr>
      </w:pPr>
      <w:r w:rsidRPr="00FC3B05">
        <w:rPr>
          <w:rFonts w:ascii="Times New Roman" w:eastAsia="MS Mincho" w:hAnsi="Times New Roman"/>
          <w:sz w:val="20"/>
          <w:szCs w:val="20"/>
          <w:lang w:bidi="ar-SA"/>
        </w:rPr>
        <w:t>The authors of this paper are thankful to the Institute of Oceanography and Environment (INOS) and the State University of Zanzibar (SUZA) for their support.</w:t>
      </w:r>
    </w:p>
    <w:p w14:paraId="3C1C1E79" w14:textId="77777777" w:rsidR="00FC3B05" w:rsidRPr="00FC3B05" w:rsidRDefault="00FC3B05" w:rsidP="00D57550">
      <w:pPr>
        <w:spacing w:after="0"/>
        <w:jc w:val="center"/>
        <w:rPr>
          <w:rFonts w:ascii="Times New Roman" w:eastAsia="MS Mincho" w:hAnsi="Times New Roman"/>
          <w:sz w:val="20"/>
          <w:szCs w:val="20"/>
          <w:lang w:bidi="ar-SA"/>
        </w:rPr>
      </w:pPr>
    </w:p>
    <w:p w14:paraId="22870111" w14:textId="3E158C64" w:rsidR="00D206FC" w:rsidRPr="00810D8A" w:rsidRDefault="00FC3B05" w:rsidP="00810D8A">
      <w:pPr>
        <w:keepNext/>
        <w:keepLines/>
        <w:spacing w:after="0"/>
        <w:jc w:val="center"/>
        <w:outlineLvl w:val="0"/>
        <w:rPr>
          <w:rFonts w:ascii="Times New Roman" w:hAnsi="Times New Roman"/>
          <w:b/>
          <w:bCs/>
          <w:color w:val="000000"/>
          <w:sz w:val="20"/>
          <w:szCs w:val="20"/>
          <w:lang w:bidi="ar-SA"/>
        </w:rPr>
      </w:pPr>
      <w:bookmarkStart w:id="49" w:name="_Hlk105857031"/>
      <w:r w:rsidRPr="00810D8A">
        <w:rPr>
          <w:rFonts w:ascii="Times New Roman" w:hAnsi="Times New Roman"/>
          <w:b/>
          <w:bCs/>
          <w:color w:val="000000"/>
          <w:sz w:val="20"/>
          <w:szCs w:val="20"/>
          <w:lang w:bidi="ar-SA"/>
        </w:rPr>
        <w:t>References</w:t>
      </w:r>
    </w:p>
    <w:p w14:paraId="5BA5C5CD"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Asnani, P. U. and Zurbrugg, C. (2007). Improving municipal solid waste management in India: A sourcebook for policymakers and practitioners. World Bank Publications.</w:t>
      </w:r>
    </w:p>
    <w:p w14:paraId="01A2390C"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Tian, H. Z., Lu, L., Cheng, K., Hao, J. M., Zhao, D., Wang, Y., Jia, W. X. and Qiu, P. P. (2012). Anthropogenic atmospheric nickel emissions and its distribution characteristics in China. </w:t>
      </w:r>
      <w:r w:rsidRPr="00810D8A">
        <w:rPr>
          <w:rFonts w:ascii="Times New Roman" w:eastAsia="MS Mincho" w:hAnsi="Times New Roman"/>
          <w:i/>
          <w:iCs/>
          <w:noProof/>
          <w:color w:val="000000"/>
          <w:sz w:val="20"/>
          <w:szCs w:val="20"/>
          <w:lang w:bidi="ar-SA"/>
        </w:rPr>
        <w:t xml:space="preserve">Science of the Total Environment, </w:t>
      </w:r>
      <w:r w:rsidRPr="00810D8A">
        <w:rPr>
          <w:rFonts w:ascii="Times New Roman" w:eastAsia="MS Mincho" w:hAnsi="Times New Roman"/>
          <w:noProof/>
          <w:color w:val="000000"/>
          <w:sz w:val="20"/>
          <w:szCs w:val="20"/>
          <w:lang w:bidi="ar-SA"/>
        </w:rPr>
        <w:t>417–418: 148-157.</w:t>
      </w:r>
    </w:p>
    <w:p w14:paraId="4773203B"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Yoon, J., Cao, X., Zhou, Q. and Ma, L. Q. (2006). Accumulation of Pb, Cu, and Zn in native plants growing on a contaminated Florida site. </w:t>
      </w:r>
      <w:r w:rsidRPr="00810D8A">
        <w:rPr>
          <w:rFonts w:ascii="Times New Roman" w:eastAsia="MS Mincho" w:hAnsi="Times New Roman"/>
          <w:i/>
          <w:iCs/>
          <w:noProof/>
          <w:color w:val="000000"/>
          <w:sz w:val="20"/>
          <w:szCs w:val="20"/>
          <w:lang w:bidi="ar-SA"/>
        </w:rPr>
        <w:t>Science of the Total Environment,</w:t>
      </w:r>
      <w:r w:rsidRPr="00810D8A">
        <w:rPr>
          <w:rFonts w:ascii="Times New Roman" w:eastAsia="MS Mincho" w:hAnsi="Times New Roman"/>
          <w:noProof/>
          <w:color w:val="000000"/>
          <w:sz w:val="20"/>
          <w:szCs w:val="20"/>
          <w:lang w:bidi="ar-SA"/>
        </w:rPr>
        <w:t xml:space="preserve"> 368(2–3): 456-464. </w:t>
      </w:r>
    </w:p>
    <w:p w14:paraId="26A84AFB"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Dixit, R., Wasiullah, Malaviya, D., Pandiyan, K., Singh, U. B., Sahu, A., Shukla, R., Singh, B. P., Rai, J. P., Sharma, P. K., Lade, H. and Paul, D. (2015). Bioremediation of heavy metals from soil and aquatic environment: An overview of principles and criteria of fundamental processes. </w:t>
      </w:r>
      <w:r w:rsidRPr="00810D8A">
        <w:rPr>
          <w:rFonts w:ascii="Times New Roman" w:eastAsia="MS Mincho" w:hAnsi="Times New Roman"/>
          <w:i/>
          <w:iCs/>
          <w:noProof/>
          <w:color w:val="000000"/>
          <w:sz w:val="20"/>
          <w:szCs w:val="20"/>
          <w:lang w:bidi="ar-SA"/>
        </w:rPr>
        <w:t xml:space="preserve">Sustainability (Switzerland), </w:t>
      </w:r>
      <w:r w:rsidRPr="00810D8A">
        <w:rPr>
          <w:rFonts w:ascii="Times New Roman" w:eastAsia="MS Mincho" w:hAnsi="Times New Roman"/>
          <w:noProof/>
          <w:color w:val="000000"/>
          <w:sz w:val="20"/>
          <w:szCs w:val="20"/>
          <w:lang w:bidi="ar-SA"/>
        </w:rPr>
        <w:t xml:space="preserve">7(2): 2189-2212. </w:t>
      </w:r>
    </w:p>
    <w:p w14:paraId="2151526E"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Das, N. (2005). Heavy metals biosorption by mushrooms. </w:t>
      </w:r>
      <w:r w:rsidRPr="00810D8A">
        <w:rPr>
          <w:rFonts w:ascii="Times New Roman" w:eastAsia="MS Mincho" w:hAnsi="Times New Roman"/>
          <w:i/>
          <w:iCs/>
          <w:noProof/>
          <w:color w:val="000000"/>
          <w:sz w:val="20"/>
          <w:szCs w:val="20"/>
          <w:lang w:bidi="ar-SA"/>
        </w:rPr>
        <w:t>Indian Journal of Natural Products and Resources</w:t>
      </w:r>
      <w:r w:rsidRPr="00810D8A">
        <w:rPr>
          <w:rFonts w:ascii="Times New Roman" w:eastAsia="MS Mincho" w:hAnsi="Times New Roman"/>
          <w:noProof/>
          <w:color w:val="000000"/>
          <w:sz w:val="20"/>
          <w:szCs w:val="20"/>
          <w:lang w:bidi="ar-SA"/>
        </w:rPr>
        <w:t>, 4(6): 454-459.</w:t>
      </w:r>
    </w:p>
    <w:p w14:paraId="47D4183B"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Volesky, B. (2007). Biosorption and me. </w:t>
      </w:r>
      <w:r w:rsidRPr="00810D8A">
        <w:rPr>
          <w:rFonts w:ascii="Times New Roman" w:eastAsia="MS Mincho" w:hAnsi="Times New Roman"/>
          <w:i/>
          <w:iCs/>
          <w:noProof/>
          <w:color w:val="000000"/>
          <w:sz w:val="20"/>
          <w:szCs w:val="20"/>
          <w:lang w:bidi="ar-SA"/>
        </w:rPr>
        <w:t>Water Research,</w:t>
      </w:r>
      <w:r w:rsidRPr="00810D8A">
        <w:rPr>
          <w:rFonts w:ascii="Times New Roman" w:eastAsia="MS Mincho" w:hAnsi="Times New Roman"/>
          <w:noProof/>
          <w:color w:val="000000"/>
          <w:sz w:val="20"/>
          <w:szCs w:val="20"/>
          <w:lang w:bidi="ar-SA"/>
        </w:rPr>
        <w:t xml:space="preserve"> 41(18): 4017-4029. </w:t>
      </w:r>
    </w:p>
    <w:p w14:paraId="2EB27A35"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Zeraatkar, A. K., Ahmadzadeh, H., Talebi, A. F., Moheimani, N. R. and McHenry, M. P. (2016). Potential use of algae for heavy metal </w:t>
      </w:r>
      <w:r w:rsidRPr="00810D8A">
        <w:rPr>
          <w:rFonts w:ascii="Times New Roman" w:eastAsia="MS Mincho" w:hAnsi="Times New Roman"/>
          <w:noProof/>
          <w:color w:val="000000"/>
          <w:sz w:val="20"/>
          <w:szCs w:val="20"/>
          <w:lang w:bidi="ar-SA"/>
        </w:rPr>
        <w:t xml:space="preserve">bioremediation, a critical review. </w:t>
      </w:r>
      <w:r w:rsidRPr="00810D8A">
        <w:rPr>
          <w:rFonts w:ascii="Times New Roman" w:eastAsia="MS Mincho" w:hAnsi="Times New Roman"/>
          <w:i/>
          <w:iCs/>
          <w:noProof/>
          <w:color w:val="000000"/>
          <w:sz w:val="20"/>
          <w:szCs w:val="20"/>
          <w:lang w:bidi="ar-SA"/>
        </w:rPr>
        <w:t>Journal of Environmental Management,</w:t>
      </w:r>
      <w:r w:rsidRPr="00810D8A">
        <w:rPr>
          <w:rFonts w:ascii="Times New Roman" w:eastAsia="MS Mincho" w:hAnsi="Times New Roman"/>
          <w:noProof/>
          <w:color w:val="000000"/>
          <w:sz w:val="20"/>
          <w:szCs w:val="20"/>
          <w:lang w:bidi="ar-SA"/>
        </w:rPr>
        <w:t xml:space="preserve"> 181: 817–831. </w:t>
      </w:r>
    </w:p>
    <w:p w14:paraId="100716E1"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Mousavi, S. A., Almasi, A., Navazeshkh, F. and Falahi, F. (2019). Biosorption of lead from aqueous solutions by algae biomass: Optimization and modeling. </w:t>
      </w:r>
      <w:r w:rsidRPr="00810D8A">
        <w:rPr>
          <w:rFonts w:ascii="Times New Roman" w:eastAsia="MS Mincho" w:hAnsi="Times New Roman"/>
          <w:i/>
          <w:iCs/>
          <w:noProof/>
          <w:color w:val="000000"/>
          <w:sz w:val="20"/>
          <w:szCs w:val="20"/>
          <w:lang w:bidi="ar-SA"/>
        </w:rPr>
        <w:t xml:space="preserve">Desalination and Water Treatment, </w:t>
      </w:r>
      <w:r w:rsidRPr="00810D8A">
        <w:rPr>
          <w:rFonts w:ascii="Times New Roman" w:eastAsia="MS Mincho" w:hAnsi="Times New Roman"/>
          <w:noProof/>
          <w:color w:val="000000"/>
          <w:sz w:val="20"/>
          <w:szCs w:val="20"/>
          <w:lang w:bidi="ar-SA"/>
        </w:rPr>
        <w:t xml:space="preserve">148: 229-237. </w:t>
      </w:r>
    </w:p>
    <w:p w14:paraId="7B055E1F" w14:textId="77777777" w:rsidR="00D206FC"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Dwivedi, S., Mishra, A. and Saini, D. (2012). Removal of heavy metals in liquid media through fungi isolated from waste water. </w:t>
      </w:r>
      <w:r w:rsidRPr="00810D8A">
        <w:rPr>
          <w:rFonts w:ascii="Times New Roman" w:eastAsia="MS Mincho" w:hAnsi="Times New Roman"/>
          <w:i/>
          <w:iCs/>
          <w:noProof/>
          <w:color w:val="000000"/>
          <w:sz w:val="20"/>
          <w:szCs w:val="20"/>
          <w:lang w:bidi="ar-SA"/>
        </w:rPr>
        <w:t xml:space="preserve">International Journal of Science and Research, </w:t>
      </w:r>
      <w:r w:rsidRPr="00810D8A">
        <w:rPr>
          <w:rFonts w:ascii="Times New Roman" w:eastAsia="MS Mincho" w:hAnsi="Times New Roman"/>
          <w:noProof/>
          <w:color w:val="000000"/>
          <w:sz w:val="20"/>
          <w:szCs w:val="20"/>
          <w:lang w:bidi="ar-SA"/>
        </w:rPr>
        <w:t>1: 2319-7064.</w:t>
      </w:r>
    </w:p>
    <w:p w14:paraId="0EC8042E" w14:textId="5572A012" w:rsidR="00D57550" w:rsidRPr="00810D8A" w:rsidRDefault="00D206FC"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Vijayaraghavan, K. and Yun, Y. S. (2008). Bacterial biosorbents and biosorption. </w:t>
      </w:r>
      <w:r w:rsidRPr="00810D8A">
        <w:rPr>
          <w:rFonts w:ascii="Times New Roman" w:eastAsia="MS Mincho" w:hAnsi="Times New Roman"/>
          <w:i/>
          <w:iCs/>
          <w:noProof/>
          <w:color w:val="000000"/>
          <w:sz w:val="20"/>
          <w:szCs w:val="20"/>
          <w:lang w:bidi="ar-SA"/>
        </w:rPr>
        <w:t>Biotechnology Advances</w:t>
      </w:r>
      <w:r w:rsidRPr="00810D8A">
        <w:rPr>
          <w:rFonts w:ascii="Times New Roman" w:eastAsia="MS Mincho" w:hAnsi="Times New Roman"/>
          <w:noProof/>
          <w:color w:val="000000"/>
          <w:sz w:val="20"/>
          <w:szCs w:val="20"/>
          <w:lang w:bidi="ar-SA"/>
        </w:rPr>
        <w:t>, 26(3): 266-291.</w:t>
      </w:r>
    </w:p>
    <w:p w14:paraId="742562F9"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Elangovan, R., Philip, L. and Chandraraj, K. (2008). Biosorption of chromium species by aquatic weeds: Kinetics and mechanism studies.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152(1): 100-112.</w:t>
      </w:r>
    </w:p>
    <w:p w14:paraId="5952E4F7"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Rahman, H. U., Shakirullah, M., Ahmad, I., Shah, S. and Shah, A. A. (2005). Removal of copper (II) ions from aqueous medium by sawdust of wood. In </w:t>
      </w:r>
      <w:r w:rsidRPr="00810D8A">
        <w:rPr>
          <w:rFonts w:ascii="Times New Roman" w:eastAsia="MS Mincho" w:hAnsi="Times New Roman"/>
          <w:i/>
          <w:iCs/>
          <w:noProof/>
          <w:color w:val="000000"/>
          <w:sz w:val="20"/>
          <w:szCs w:val="20"/>
          <w:lang w:bidi="ar-SA"/>
        </w:rPr>
        <w:t>Journal of the Chemical Society of Pakistan</w:t>
      </w:r>
      <w:r w:rsidRPr="00810D8A">
        <w:rPr>
          <w:rFonts w:ascii="Times New Roman" w:eastAsia="MS Mincho" w:hAnsi="Times New Roman"/>
          <w:noProof/>
          <w:color w:val="000000"/>
          <w:sz w:val="20"/>
          <w:szCs w:val="20"/>
          <w:lang w:bidi="ar-SA"/>
        </w:rPr>
        <w:t>, 27(3): 233-238.</w:t>
      </w:r>
    </w:p>
    <w:p w14:paraId="5C26B0F8"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Tabaraki, R., Nateghi, A. and Ahmady-Asbchin, S. (2014). Biosorption of lead (II) ions on </w:t>
      </w:r>
      <w:r w:rsidRPr="00810D8A">
        <w:rPr>
          <w:rFonts w:ascii="Times New Roman" w:eastAsia="MS Mincho" w:hAnsi="Times New Roman"/>
          <w:i/>
          <w:iCs/>
          <w:noProof/>
          <w:color w:val="000000"/>
          <w:sz w:val="20"/>
          <w:szCs w:val="20"/>
          <w:lang w:bidi="ar-SA"/>
        </w:rPr>
        <w:t>Sargassum ilicifolium</w:t>
      </w:r>
      <w:r w:rsidRPr="00810D8A">
        <w:rPr>
          <w:rFonts w:ascii="Times New Roman" w:eastAsia="MS Mincho" w:hAnsi="Times New Roman"/>
          <w:noProof/>
          <w:color w:val="000000"/>
          <w:sz w:val="20"/>
          <w:szCs w:val="20"/>
          <w:lang w:bidi="ar-SA"/>
        </w:rPr>
        <w:t xml:space="preserve">: Application of response surface methodology. </w:t>
      </w:r>
      <w:r w:rsidRPr="00810D8A">
        <w:rPr>
          <w:rFonts w:ascii="Times New Roman" w:eastAsia="MS Mincho" w:hAnsi="Times New Roman"/>
          <w:i/>
          <w:iCs/>
          <w:noProof/>
          <w:color w:val="000000"/>
          <w:sz w:val="20"/>
          <w:szCs w:val="20"/>
          <w:lang w:bidi="ar-SA"/>
        </w:rPr>
        <w:t xml:space="preserve">International Biodeterioration and Biodegradation, </w:t>
      </w:r>
      <w:r w:rsidRPr="00810D8A">
        <w:rPr>
          <w:rFonts w:ascii="Times New Roman" w:eastAsia="MS Mincho" w:hAnsi="Times New Roman"/>
          <w:noProof/>
          <w:color w:val="000000"/>
          <w:sz w:val="20"/>
          <w:szCs w:val="20"/>
          <w:lang w:bidi="ar-SA"/>
        </w:rPr>
        <w:t xml:space="preserve">93: 145-152. </w:t>
      </w:r>
    </w:p>
    <w:p w14:paraId="536000BF"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Taşar, Ş., Kaya, F. and Özer, A. (2014). Biosorption of lead(II) ions from aqueous solution by peanut shells: Equilibrium, thermodynamic and kinetic studies. </w:t>
      </w:r>
      <w:r w:rsidRPr="00810D8A">
        <w:rPr>
          <w:rFonts w:ascii="Times New Roman" w:eastAsia="MS Mincho" w:hAnsi="Times New Roman"/>
          <w:i/>
          <w:iCs/>
          <w:noProof/>
          <w:color w:val="000000"/>
          <w:sz w:val="20"/>
          <w:szCs w:val="20"/>
          <w:lang w:bidi="ar-SA"/>
        </w:rPr>
        <w:t>Journal of Environmental Chemical Engineering,</w:t>
      </w:r>
      <w:r w:rsidRPr="00810D8A">
        <w:rPr>
          <w:rFonts w:ascii="Times New Roman" w:eastAsia="MS Mincho" w:hAnsi="Times New Roman"/>
          <w:noProof/>
          <w:color w:val="000000"/>
          <w:sz w:val="20"/>
          <w:szCs w:val="20"/>
          <w:lang w:bidi="ar-SA"/>
        </w:rPr>
        <w:t xml:space="preserve"> 2(2): 1018-1026.</w:t>
      </w:r>
    </w:p>
    <w:p w14:paraId="25097362"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Blázquez, G., Calero, M., Hernáinz, F., Tenorio, G. and Martín-Lara, M. A. (2010). Equilibrium biosorption of lead(II) from aqueous solutions by solid waste from olive-oil production. </w:t>
      </w:r>
      <w:r w:rsidRPr="00810D8A">
        <w:rPr>
          <w:rFonts w:ascii="Times New Roman" w:eastAsia="MS Mincho" w:hAnsi="Times New Roman"/>
          <w:i/>
          <w:iCs/>
          <w:noProof/>
          <w:color w:val="000000"/>
          <w:sz w:val="20"/>
          <w:szCs w:val="20"/>
          <w:lang w:bidi="ar-SA"/>
        </w:rPr>
        <w:t>Chemical Engineering Journal,</w:t>
      </w:r>
      <w:r w:rsidRPr="00810D8A">
        <w:rPr>
          <w:rFonts w:ascii="Times New Roman" w:eastAsia="MS Mincho" w:hAnsi="Times New Roman"/>
          <w:noProof/>
          <w:color w:val="000000"/>
          <w:sz w:val="20"/>
          <w:szCs w:val="20"/>
          <w:lang w:bidi="ar-SA"/>
        </w:rPr>
        <w:t xml:space="preserve"> 160(2): 615-622. </w:t>
      </w:r>
    </w:p>
    <w:p w14:paraId="769C41D4" w14:textId="0E2E3272"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Gerola, G. P., Boas, N. V., Caetano, J., Tarley, C. R. T., Gonçalves, A. C. and Dragunski, D. C. (2013). Utilization of passion fruit skin by-product as lead(II) ion biosorbent. </w:t>
      </w:r>
      <w:r w:rsidRPr="00810D8A">
        <w:rPr>
          <w:rFonts w:ascii="Times New Roman" w:eastAsia="MS Mincho" w:hAnsi="Times New Roman"/>
          <w:i/>
          <w:iCs/>
          <w:noProof/>
          <w:color w:val="000000"/>
          <w:sz w:val="20"/>
          <w:szCs w:val="20"/>
          <w:lang w:bidi="ar-SA"/>
        </w:rPr>
        <w:t>Water, Air, and Soil Pollution,</w:t>
      </w:r>
      <w:r w:rsidRPr="00810D8A">
        <w:rPr>
          <w:rFonts w:ascii="Times New Roman" w:eastAsia="MS Mincho" w:hAnsi="Times New Roman"/>
          <w:noProof/>
          <w:color w:val="000000"/>
          <w:sz w:val="20"/>
          <w:szCs w:val="20"/>
          <w:lang w:bidi="ar-SA"/>
        </w:rPr>
        <w:t xml:space="preserve"> 224(2): 1-11. </w:t>
      </w:r>
    </w:p>
    <w:p w14:paraId="1D51F451" w14:textId="6C16840A" w:rsidR="009D47A9" w:rsidRPr="00810D8A" w:rsidRDefault="009D47A9" w:rsidP="00810D8A">
      <w:pPr>
        <w:widowControl w:val="0"/>
        <w:autoSpaceDE w:val="0"/>
        <w:autoSpaceDN w:val="0"/>
        <w:adjustRightInd w:val="0"/>
        <w:spacing w:after="0"/>
        <w:jc w:val="both"/>
        <w:rPr>
          <w:rFonts w:ascii="Times New Roman" w:eastAsia="MS Mincho" w:hAnsi="Times New Roman"/>
          <w:noProof/>
          <w:color w:val="000000"/>
          <w:sz w:val="20"/>
          <w:szCs w:val="20"/>
          <w:lang w:bidi="ar-SA"/>
        </w:rPr>
      </w:pPr>
    </w:p>
    <w:p w14:paraId="36D471D0" w14:textId="0F1F0DE9" w:rsidR="009D47A9" w:rsidRPr="00810D8A" w:rsidRDefault="009D47A9" w:rsidP="00810D8A">
      <w:pPr>
        <w:widowControl w:val="0"/>
        <w:autoSpaceDE w:val="0"/>
        <w:autoSpaceDN w:val="0"/>
        <w:adjustRightInd w:val="0"/>
        <w:spacing w:after="0"/>
        <w:jc w:val="both"/>
        <w:rPr>
          <w:rFonts w:ascii="Times New Roman" w:eastAsia="MS Mincho" w:hAnsi="Times New Roman"/>
          <w:noProof/>
          <w:color w:val="000000"/>
          <w:sz w:val="20"/>
          <w:szCs w:val="20"/>
          <w:lang w:bidi="ar-SA"/>
        </w:rPr>
      </w:pPr>
    </w:p>
    <w:p w14:paraId="356552DA" w14:textId="77777777" w:rsidR="009D47A9" w:rsidRPr="00810D8A" w:rsidRDefault="009D47A9" w:rsidP="00810D8A">
      <w:pPr>
        <w:widowControl w:val="0"/>
        <w:autoSpaceDE w:val="0"/>
        <w:autoSpaceDN w:val="0"/>
        <w:adjustRightInd w:val="0"/>
        <w:spacing w:after="0"/>
        <w:jc w:val="both"/>
        <w:rPr>
          <w:rFonts w:ascii="Times New Roman" w:eastAsia="MS Mincho" w:hAnsi="Times New Roman"/>
          <w:noProof/>
          <w:color w:val="000000"/>
          <w:sz w:val="20"/>
          <w:szCs w:val="20"/>
          <w:lang w:bidi="ar-SA"/>
        </w:rPr>
      </w:pPr>
    </w:p>
    <w:p w14:paraId="639649F0"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lastRenderedPageBreak/>
        <w:t xml:space="preserve">Senthilkumar, R., Vijayaraghavan, K., Thilakavathi, M., Iyer, P. V. R. and Velan, M. (2007). Application of seaweeds for the removal of lead from aqueous solution. </w:t>
      </w:r>
      <w:r w:rsidRPr="00810D8A">
        <w:rPr>
          <w:rFonts w:ascii="Times New Roman" w:eastAsia="MS Mincho" w:hAnsi="Times New Roman"/>
          <w:i/>
          <w:iCs/>
          <w:noProof/>
          <w:color w:val="000000"/>
          <w:sz w:val="20"/>
          <w:szCs w:val="20"/>
          <w:lang w:bidi="ar-SA"/>
        </w:rPr>
        <w:t>Biochemical Engineering Journal,</w:t>
      </w:r>
      <w:r w:rsidRPr="00810D8A">
        <w:rPr>
          <w:rFonts w:ascii="Times New Roman" w:eastAsia="MS Mincho" w:hAnsi="Times New Roman"/>
          <w:noProof/>
          <w:color w:val="000000"/>
          <w:sz w:val="20"/>
          <w:szCs w:val="20"/>
          <w:lang w:bidi="ar-SA"/>
        </w:rPr>
        <w:t xml:space="preserve"> 33(3): 211-216. </w:t>
      </w:r>
    </w:p>
    <w:p w14:paraId="179F79FF"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Abdel -Aty, A. M., Ammar, N. S., Abdel Ghafar, H. H. and Ali, R. K. (2013). Biosorption of cadmium and lead from aqueous solution by freshwater alga </w:t>
      </w:r>
      <w:r w:rsidRPr="00810D8A">
        <w:rPr>
          <w:rFonts w:ascii="Times New Roman" w:eastAsia="MS Mincho" w:hAnsi="Times New Roman"/>
          <w:i/>
          <w:iCs/>
          <w:noProof/>
          <w:color w:val="000000"/>
          <w:sz w:val="20"/>
          <w:szCs w:val="20"/>
          <w:lang w:bidi="ar-SA"/>
        </w:rPr>
        <w:t>Anabaena sphaerica</w:t>
      </w:r>
      <w:r w:rsidRPr="00810D8A">
        <w:rPr>
          <w:rFonts w:ascii="Times New Roman" w:eastAsia="MS Mincho" w:hAnsi="Times New Roman"/>
          <w:noProof/>
          <w:color w:val="000000"/>
          <w:sz w:val="20"/>
          <w:szCs w:val="20"/>
          <w:lang w:bidi="ar-SA"/>
        </w:rPr>
        <w:t xml:space="preserve"> biomass. </w:t>
      </w:r>
      <w:r w:rsidRPr="00810D8A">
        <w:rPr>
          <w:rFonts w:ascii="Times New Roman" w:eastAsia="MS Mincho" w:hAnsi="Times New Roman"/>
          <w:i/>
          <w:iCs/>
          <w:noProof/>
          <w:color w:val="000000"/>
          <w:sz w:val="20"/>
          <w:szCs w:val="20"/>
          <w:lang w:bidi="ar-SA"/>
        </w:rPr>
        <w:t>Journal of Advanced Research,</w:t>
      </w:r>
      <w:r w:rsidRPr="00810D8A">
        <w:rPr>
          <w:rFonts w:ascii="Times New Roman" w:eastAsia="MS Mincho" w:hAnsi="Times New Roman"/>
          <w:noProof/>
          <w:color w:val="000000"/>
          <w:sz w:val="20"/>
          <w:szCs w:val="20"/>
          <w:lang w:bidi="ar-SA"/>
        </w:rPr>
        <w:t xml:space="preserve"> 4(4): 367-374. </w:t>
      </w:r>
    </w:p>
    <w:p w14:paraId="5388BF5D" w14:textId="1F01F7E0"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Putri, L. S.(2016). Biosorption of lead using macroalgae </w:t>
      </w:r>
      <w:r w:rsidRPr="00810D8A">
        <w:rPr>
          <w:rFonts w:ascii="Times New Roman" w:eastAsia="MS Mincho" w:hAnsi="Times New Roman"/>
          <w:i/>
          <w:iCs/>
          <w:noProof/>
          <w:color w:val="000000"/>
          <w:sz w:val="20"/>
          <w:szCs w:val="20"/>
          <w:lang w:bidi="ar-SA"/>
        </w:rPr>
        <w:t>Eucheuma spinosum, Padina minor</w:t>
      </w:r>
      <w:r w:rsidRPr="00810D8A">
        <w:rPr>
          <w:rFonts w:ascii="Times New Roman" w:eastAsia="MS Mincho" w:hAnsi="Times New Roman"/>
          <w:noProof/>
          <w:color w:val="000000"/>
          <w:sz w:val="20"/>
          <w:szCs w:val="20"/>
          <w:lang w:bidi="ar-SA"/>
        </w:rPr>
        <w:t xml:space="preserve">, and </w:t>
      </w:r>
      <w:r w:rsidRPr="00810D8A">
        <w:rPr>
          <w:rFonts w:ascii="Times New Roman" w:eastAsia="MS Mincho" w:hAnsi="Times New Roman"/>
          <w:i/>
          <w:iCs/>
          <w:noProof/>
          <w:color w:val="000000"/>
          <w:sz w:val="20"/>
          <w:szCs w:val="20"/>
          <w:lang w:bidi="ar-SA"/>
        </w:rPr>
        <w:t>Sargassum crassifolium</w:t>
      </w:r>
      <w:r w:rsidRPr="00810D8A">
        <w:rPr>
          <w:rFonts w:ascii="Times New Roman" w:eastAsia="MS Mincho" w:hAnsi="Times New Roman"/>
          <w:noProof/>
          <w:color w:val="000000"/>
          <w:sz w:val="20"/>
          <w:szCs w:val="20"/>
          <w:lang w:bidi="ar-SA"/>
        </w:rPr>
        <w:t xml:space="preserve"> in an aqueous solution. </w:t>
      </w:r>
      <w:r w:rsidRPr="00810D8A">
        <w:rPr>
          <w:rFonts w:ascii="Times New Roman" w:eastAsia="MS Mincho" w:hAnsi="Times New Roman"/>
          <w:i/>
          <w:iCs/>
          <w:noProof/>
          <w:color w:val="000000"/>
          <w:sz w:val="20"/>
          <w:szCs w:val="20"/>
          <w:lang w:bidi="ar-SA"/>
        </w:rPr>
        <w:t>Asian Journal of Applied Sciences,</w:t>
      </w:r>
      <w:r w:rsidRPr="00810D8A">
        <w:rPr>
          <w:rFonts w:ascii="Times New Roman" w:eastAsia="MS Mincho" w:hAnsi="Times New Roman"/>
          <w:noProof/>
          <w:color w:val="000000"/>
          <w:sz w:val="20"/>
          <w:szCs w:val="20"/>
          <w:lang w:bidi="ar-SA"/>
        </w:rPr>
        <w:t xml:space="preserve"> 4: 520-525.</w:t>
      </w:r>
    </w:p>
    <w:p w14:paraId="49B9D138" w14:textId="34E00AF0" w:rsidR="00D57550" w:rsidRPr="00074E00"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Abdel Ghafar, H. H., Abdel-Aty, A. M., Ammar, N. S. and Embaby, M. A. (2014). Lead biosorption from aqueous solution by raw and chemically modified green freshwater algae </w:t>
      </w:r>
      <w:r w:rsidRPr="00810D8A">
        <w:rPr>
          <w:rFonts w:ascii="Times New Roman" w:eastAsia="MS Mincho" w:hAnsi="Times New Roman"/>
          <w:i/>
          <w:iCs/>
          <w:noProof/>
          <w:color w:val="000000"/>
          <w:sz w:val="20"/>
          <w:szCs w:val="20"/>
          <w:lang w:bidi="ar-SA"/>
        </w:rPr>
        <w:t>Scenedesmus obliquus.</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Desalination and Water Treatment,</w:t>
      </w:r>
      <w:r w:rsidRPr="00810D8A">
        <w:rPr>
          <w:rFonts w:ascii="Times New Roman" w:eastAsia="MS Mincho" w:hAnsi="Times New Roman"/>
          <w:noProof/>
          <w:color w:val="000000"/>
          <w:sz w:val="20"/>
          <w:szCs w:val="20"/>
          <w:lang w:bidi="ar-SA"/>
        </w:rPr>
        <w:t xml:space="preserve"> 52(40–42):</w:t>
      </w:r>
      <w:r w:rsidR="003457FF">
        <w:rPr>
          <w:rFonts w:ascii="Times New Roman" w:eastAsia="MS Mincho" w:hAnsi="Times New Roman"/>
          <w:noProof/>
          <w:color w:val="000000"/>
          <w:sz w:val="20"/>
          <w:szCs w:val="20"/>
          <w:lang w:bidi="ar-SA"/>
        </w:rPr>
        <w:t xml:space="preserve"> </w:t>
      </w:r>
      <w:r w:rsidRPr="00810D8A">
        <w:rPr>
          <w:rFonts w:ascii="Times New Roman" w:eastAsia="MS Mincho" w:hAnsi="Times New Roman"/>
          <w:noProof/>
          <w:color w:val="000000"/>
          <w:sz w:val="20"/>
          <w:szCs w:val="20"/>
          <w:lang w:bidi="ar-SA"/>
        </w:rPr>
        <w:t xml:space="preserve">7906-7914. </w:t>
      </w:r>
      <w:r w:rsidR="003457FF">
        <w:rPr>
          <w:rFonts w:ascii="Times New Roman" w:eastAsia="MS Mincho" w:hAnsi="Times New Roman"/>
          <w:noProof/>
          <w:color w:val="000000"/>
          <w:sz w:val="20"/>
          <w:szCs w:val="20"/>
          <w:lang w:bidi="ar-SA"/>
        </w:rPr>
        <w:t xml:space="preserve">   </w:t>
      </w:r>
      <w:r w:rsidR="003457FF" w:rsidRPr="00074E00">
        <w:rPr>
          <w:rFonts w:ascii="Times New Roman" w:hAnsi="Times New Roman"/>
          <w:sz w:val="20"/>
          <w:szCs w:val="20"/>
        </w:rPr>
        <w:t xml:space="preserve">https://doi.org/10.1080/ </w:t>
      </w:r>
      <w:r w:rsidR="001921CF" w:rsidRPr="00074E00">
        <w:rPr>
          <w:rFonts w:ascii="Times New Roman" w:hAnsi="Times New Roman"/>
          <w:sz w:val="20"/>
          <w:szCs w:val="20"/>
        </w:rPr>
        <w:t>19443994.2013.856345</w:t>
      </w:r>
    </w:p>
    <w:p w14:paraId="789C34B2"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Shrestha, R., Ban, S., Devkota, S., Sharma, S., Joshi, R., Tiwari, A. P., Kim, H. Y. and Joshi, M. K. (2021). Technological trends in heavy metals removal from industrial wastewater: A review. </w:t>
      </w:r>
      <w:r w:rsidRPr="00810D8A">
        <w:rPr>
          <w:rFonts w:ascii="Times New Roman" w:eastAsia="MS Mincho" w:hAnsi="Times New Roman"/>
          <w:i/>
          <w:iCs/>
          <w:noProof/>
          <w:color w:val="000000"/>
          <w:sz w:val="20"/>
          <w:szCs w:val="20"/>
          <w:lang w:bidi="ar-SA"/>
        </w:rPr>
        <w:t>Journal of Environmental Chemical Engineering,</w:t>
      </w:r>
      <w:r w:rsidRPr="00810D8A">
        <w:rPr>
          <w:rFonts w:ascii="Times New Roman" w:eastAsia="MS Mincho" w:hAnsi="Times New Roman"/>
          <w:noProof/>
          <w:color w:val="000000"/>
          <w:sz w:val="20"/>
          <w:szCs w:val="20"/>
          <w:lang w:bidi="ar-SA"/>
        </w:rPr>
        <w:t xml:space="preserve"> 9(4): 105688. </w:t>
      </w:r>
    </w:p>
    <w:p w14:paraId="1B9E8B53" w14:textId="2ACDE61F" w:rsidR="00D57550" w:rsidRPr="00315D27"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b/>
          <w:bCs/>
          <w:noProof/>
          <w:color w:val="000000"/>
          <w:sz w:val="20"/>
          <w:szCs w:val="20"/>
          <w:lang w:bidi="ar-SA"/>
        </w:rPr>
      </w:pPr>
      <w:r w:rsidRPr="00810D8A">
        <w:rPr>
          <w:rFonts w:ascii="Times New Roman" w:eastAsia="MS Mincho" w:hAnsi="Times New Roman"/>
          <w:noProof/>
          <w:color w:val="000000"/>
          <w:sz w:val="20"/>
          <w:szCs w:val="20"/>
          <w:lang w:bidi="ar-SA"/>
        </w:rPr>
        <w:t xml:space="preserve">Pan, Y., Wernberg, T., de Bettignies, T., Holmer, M., Li, K., Wu, J., Lin, F., Yu, Y., Xu, J., Zhou, C., Huang, Z. and Xiao, X. (2018). Screening of seaweeds in the East China Sea as potential bio-monitors of heavy metals. </w:t>
      </w:r>
      <w:r w:rsidRPr="00810D8A">
        <w:rPr>
          <w:rFonts w:ascii="Times New Roman" w:eastAsia="MS Mincho" w:hAnsi="Times New Roman"/>
          <w:i/>
          <w:iCs/>
          <w:noProof/>
          <w:color w:val="000000"/>
          <w:sz w:val="20"/>
          <w:szCs w:val="20"/>
          <w:lang w:bidi="ar-SA"/>
        </w:rPr>
        <w:t>Environmental Science and Pollution Research,</w:t>
      </w:r>
      <w:r w:rsidRPr="00810D8A">
        <w:rPr>
          <w:rFonts w:ascii="Times New Roman" w:eastAsia="MS Mincho" w:hAnsi="Times New Roman"/>
          <w:noProof/>
          <w:color w:val="000000"/>
          <w:sz w:val="20"/>
          <w:szCs w:val="20"/>
          <w:lang w:bidi="ar-SA"/>
        </w:rPr>
        <w:t xml:space="preserve"> 25(17): 16640-16651. </w:t>
      </w:r>
      <w:r w:rsidR="003457FF" w:rsidRPr="00074E00">
        <w:rPr>
          <w:rFonts w:ascii="Times New Roman" w:hAnsi="Times New Roman"/>
          <w:sz w:val="20"/>
          <w:szCs w:val="20"/>
        </w:rPr>
        <w:t>https://doi.org/10.1007/s11356-018-1612-3</w:t>
      </w:r>
      <w:r w:rsidR="00074E00">
        <w:rPr>
          <w:rFonts w:ascii="Times New Roman" w:hAnsi="Times New Roman"/>
          <w:sz w:val="20"/>
          <w:szCs w:val="20"/>
        </w:rPr>
        <w:t>.</w:t>
      </w:r>
    </w:p>
    <w:p w14:paraId="2C53AFF8"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Valderrama, D., Cai, J., Hishamunda, N., Ridler, N., Neish, I. C., Hurtado, A. Q., Msuya, F. E., Krishnan, M., Narayanakumar, R., Kronen, M., Robledo, D., Gasca-Leyva, E. and Fraga, J. (2015). The economics of Kappaphycus seaweed cultivation in developing countries: A comparative analysis of farming systems. </w:t>
      </w:r>
      <w:r w:rsidRPr="00810D8A">
        <w:rPr>
          <w:rFonts w:ascii="Times New Roman" w:eastAsia="MS Mincho" w:hAnsi="Times New Roman"/>
          <w:i/>
          <w:iCs/>
          <w:noProof/>
          <w:color w:val="000000"/>
          <w:sz w:val="20"/>
          <w:szCs w:val="20"/>
          <w:lang w:bidi="ar-SA"/>
        </w:rPr>
        <w:t>Aquaculture Economics and Management,</w:t>
      </w:r>
      <w:r w:rsidRPr="00810D8A">
        <w:rPr>
          <w:rFonts w:ascii="Times New Roman" w:eastAsia="MS Mincho" w:hAnsi="Times New Roman"/>
          <w:noProof/>
          <w:color w:val="000000"/>
          <w:sz w:val="20"/>
          <w:szCs w:val="20"/>
          <w:lang w:bidi="ar-SA"/>
        </w:rPr>
        <w:t xml:space="preserve"> 19(2): 251-277. </w:t>
      </w:r>
    </w:p>
    <w:p w14:paraId="7F4E276B" w14:textId="73AEE51D" w:rsidR="00736B20" w:rsidRPr="003457FF" w:rsidRDefault="00D57550" w:rsidP="003457FF">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Rönnbäck, P., Bryceson, I. and Kautsky, N. (2002). Coastal aquaculture development in eastern Africa and the western Indian Ocean: Prospects and problems for food security and local economies. </w:t>
      </w:r>
      <w:r w:rsidRPr="00810D8A">
        <w:rPr>
          <w:rFonts w:ascii="Times New Roman" w:eastAsia="MS Mincho" w:hAnsi="Times New Roman"/>
          <w:i/>
          <w:iCs/>
          <w:noProof/>
          <w:color w:val="000000"/>
          <w:sz w:val="20"/>
          <w:szCs w:val="20"/>
          <w:lang w:bidi="ar-SA"/>
        </w:rPr>
        <w:t>Ambio,</w:t>
      </w:r>
      <w:r w:rsidRPr="00810D8A">
        <w:rPr>
          <w:rFonts w:ascii="Times New Roman" w:eastAsia="MS Mincho" w:hAnsi="Times New Roman"/>
          <w:noProof/>
          <w:color w:val="000000"/>
          <w:sz w:val="20"/>
          <w:szCs w:val="20"/>
          <w:lang w:bidi="ar-SA"/>
        </w:rPr>
        <w:t xml:space="preserve"> 31(7–8): 537-542.</w:t>
      </w:r>
    </w:p>
    <w:p w14:paraId="0AA4BAD3"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TWAS. (2004). </w:t>
      </w:r>
      <w:r w:rsidRPr="00810D8A">
        <w:rPr>
          <w:rFonts w:ascii="Times New Roman" w:eastAsia="MS Mincho" w:hAnsi="Times New Roman"/>
          <w:i/>
          <w:iCs/>
          <w:noProof/>
          <w:color w:val="000000"/>
          <w:sz w:val="20"/>
          <w:szCs w:val="20"/>
          <w:lang w:bidi="ar-SA"/>
        </w:rPr>
        <w:t>TWAS newsletter</w:t>
      </w:r>
      <w:r w:rsidRPr="00810D8A">
        <w:rPr>
          <w:rFonts w:ascii="Times New Roman" w:eastAsia="MS Mincho" w:hAnsi="Times New Roman"/>
          <w:noProof/>
          <w:color w:val="000000"/>
          <w:sz w:val="20"/>
          <w:szCs w:val="20"/>
          <w:lang w:bidi="ar-SA"/>
        </w:rPr>
        <w:t>. pp. 1–84.</w:t>
      </w:r>
    </w:p>
    <w:p w14:paraId="6C9FF4D6"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Vijayaraghavan, K., Raj Jegan, J., Palanivelu, K. and Velan, M. (2004). Copper removal from aqueous solution by marine green alga </w:t>
      </w:r>
      <w:r w:rsidRPr="00810D8A">
        <w:rPr>
          <w:rFonts w:ascii="Times New Roman" w:eastAsia="MS Mincho" w:hAnsi="Times New Roman"/>
          <w:i/>
          <w:iCs/>
          <w:noProof/>
          <w:color w:val="000000"/>
          <w:sz w:val="20"/>
          <w:szCs w:val="20"/>
          <w:lang w:bidi="ar-SA"/>
        </w:rPr>
        <w:t>Ulva reticulata</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Electronic Journal of Biotechnology,</w:t>
      </w:r>
      <w:r w:rsidRPr="00810D8A">
        <w:rPr>
          <w:rFonts w:ascii="Times New Roman" w:eastAsia="MS Mincho" w:hAnsi="Times New Roman"/>
          <w:noProof/>
          <w:color w:val="000000"/>
          <w:sz w:val="20"/>
          <w:szCs w:val="20"/>
          <w:lang w:bidi="ar-SA"/>
        </w:rPr>
        <w:t xml:space="preserve"> 7(1): 47-54.</w:t>
      </w:r>
    </w:p>
    <w:p w14:paraId="1125B687" w14:textId="604827FA"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Chove, B. E., Ballegu, W. R. and Chove, L. M. (2006). Copper and lead levels in two popular leafy vegetables grown around Morogoro Municipality, Tanzania. </w:t>
      </w:r>
      <w:r w:rsidRPr="00810D8A">
        <w:rPr>
          <w:rFonts w:ascii="Times New Roman" w:eastAsia="MS Mincho" w:hAnsi="Times New Roman"/>
          <w:i/>
          <w:iCs/>
          <w:noProof/>
          <w:color w:val="000000"/>
          <w:sz w:val="20"/>
          <w:szCs w:val="20"/>
          <w:lang w:bidi="ar-SA"/>
        </w:rPr>
        <w:t>Tanzania Health Research Bulletin</w:t>
      </w:r>
      <w:r w:rsidRPr="00810D8A">
        <w:rPr>
          <w:rFonts w:ascii="Times New Roman" w:eastAsia="MS Mincho" w:hAnsi="Times New Roman"/>
          <w:noProof/>
          <w:color w:val="000000"/>
          <w:sz w:val="20"/>
          <w:szCs w:val="20"/>
          <w:lang w:bidi="ar-SA"/>
        </w:rPr>
        <w:t>, 8(1): 37-40.</w:t>
      </w:r>
    </w:p>
    <w:p w14:paraId="30CF35CF"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Mwegoha, W. J. S. and Kihampa, C. (2010). Heavy metal contamination in agricultural soils and water in Dar es Salaam city, Tanzania. </w:t>
      </w:r>
      <w:r w:rsidRPr="00810D8A">
        <w:rPr>
          <w:rFonts w:ascii="Times New Roman" w:eastAsia="MS Mincho" w:hAnsi="Times New Roman"/>
          <w:i/>
          <w:iCs/>
          <w:noProof/>
          <w:color w:val="000000"/>
          <w:sz w:val="20"/>
          <w:szCs w:val="20"/>
          <w:lang w:bidi="ar-SA"/>
        </w:rPr>
        <w:t>African Journal of Environmental Science and Technology</w:t>
      </w:r>
      <w:r w:rsidRPr="00810D8A">
        <w:rPr>
          <w:rFonts w:ascii="Times New Roman" w:eastAsia="MS Mincho" w:hAnsi="Times New Roman"/>
          <w:noProof/>
          <w:color w:val="000000"/>
          <w:sz w:val="20"/>
          <w:szCs w:val="20"/>
          <w:lang w:bidi="ar-SA"/>
        </w:rPr>
        <w:t xml:space="preserve">, 4(11): 763-769. </w:t>
      </w:r>
    </w:p>
    <w:p w14:paraId="18502570"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Shemdoe, R. S. (2010). Heavy metal concentrations in soils and leachates of Mtoni dumpsite bordering the Indian Ocean in Dar es salaam, Tanzania. </w:t>
      </w:r>
      <w:r w:rsidRPr="00810D8A">
        <w:rPr>
          <w:rFonts w:ascii="Times New Roman" w:eastAsia="MS Mincho" w:hAnsi="Times New Roman"/>
          <w:i/>
          <w:iCs/>
          <w:noProof/>
          <w:color w:val="000000"/>
          <w:sz w:val="20"/>
          <w:szCs w:val="20"/>
          <w:lang w:bidi="ar-SA"/>
        </w:rPr>
        <w:t>Scientific Research and Essays</w:t>
      </w:r>
      <w:r w:rsidRPr="00810D8A">
        <w:rPr>
          <w:rFonts w:ascii="Times New Roman" w:eastAsia="MS Mincho" w:hAnsi="Times New Roman"/>
          <w:noProof/>
          <w:color w:val="000000"/>
          <w:sz w:val="20"/>
          <w:szCs w:val="20"/>
          <w:lang w:bidi="ar-SA"/>
        </w:rPr>
        <w:t>, 5(16): 2143-2147.</w:t>
      </w:r>
    </w:p>
    <w:p w14:paraId="55B8E7FE"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Awasthi, M. K., Guo, D., Awasthi, S. K., Wang, Q., Chen, H., Liu, T., Duan, Y., Soundari, P. G. and Zhang, Z. (2020). Recent advances in phytoremediation of toxic metals from contaminated sites: A road map to a safer environment. </w:t>
      </w:r>
      <w:r w:rsidRPr="00810D8A">
        <w:rPr>
          <w:rFonts w:ascii="Times New Roman" w:eastAsia="MS Mincho" w:hAnsi="Times New Roman"/>
          <w:i/>
          <w:iCs/>
          <w:noProof/>
          <w:color w:val="000000"/>
          <w:sz w:val="20"/>
          <w:szCs w:val="20"/>
          <w:lang w:bidi="ar-SA"/>
        </w:rPr>
        <w:t>Bioremediation of Industrial Waste for Environmental Safety</w:t>
      </w:r>
      <w:r w:rsidRPr="00810D8A">
        <w:rPr>
          <w:rFonts w:ascii="Times New Roman" w:eastAsia="MS Mincho" w:hAnsi="Times New Roman"/>
          <w:noProof/>
          <w:color w:val="000000"/>
          <w:sz w:val="20"/>
          <w:szCs w:val="20"/>
          <w:lang w:bidi="ar-SA"/>
        </w:rPr>
        <w:t>, 2: 77-112.</w:t>
      </w:r>
    </w:p>
    <w:p w14:paraId="31A8DEDB"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Diniz, V. and Volesky, B. (2005). Biosorption of La, Eu, and Yb using Sargassum biomass. </w:t>
      </w:r>
      <w:r w:rsidRPr="00810D8A">
        <w:rPr>
          <w:rFonts w:ascii="Times New Roman" w:eastAsia="MS Mincho" w:hAnsi="Times New Roman"/>
          <w:i/>
          <w:iCs/>
          <w:noProof/>
          <w:color w:val="000000"/>
          <w:sz w:val="20"/>
          <w:szCs w:val="20"/>
          <w:lang w:bidi="ar-SA"/>
        </w:rPr>
        <w:t>Water Research</w:t>
      </w:r>
      <w:r w:rsidRPr="00810D8A">
        <w:rPr>
          <w:rFonts w:ascii="Times New Roman" w:eastAsia="MS Mincho" w:hAnsi="Times New Roman"/>
          <w:noProof/>
          <w:color w:val="000000"/>
          <w:sz w:val="20"/>
          <w:szCs w:val="20"/>
          <w:lang w:bidi="ar-SA"/>
        </w:rPr>
        <w:t xml:space="preserve">, 39(1): 239-247. </w:t>
      </w:r>
    </w:p>
    <w:p w14:paraId="367A3A65" w14:textId="77777777" w:rsidR="00D5755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Nirmal Kumar, J. I., Oommen, C. and Kumar, R. N. (2009). Biosorption of heavy metals from aqueous solution by green marine macroalgae from Okha Port, Gulf of Kutch, India. </w:t>
      </w:r>
      <w:r w:rsidRPr="00810D8A">
        <w:rPr>
          <w:rFonts w:ascii="Times New Roman" w:eastAsia="MS Mincho" w:hAnsi="Times New Roman"/>
          <w:i/>
          <w:iCs/>
          <w:noProof/>
          <w:color w:val="000000"/>
          <w:sz w:val="20"/>
          <w:szCs w:val="20"/>
          <w:lang w:bidi="ar-SA"/>
        </w:rPr>
        <w:t>American Eurasian Journal Agriculture and Environmental Sciences</w:t>
      </w:r>
      <w:r w:rsidRPr="00810D8A">
        <w:rPr>
          <w:rFonts w:ascii="Times New Roman" w:eastAsia="MS Mincho" w:hAnsi="Times New Roman"/>
          <w:noProof/>
          <w:color w:val="000000"/>
          <w:sz w:val="20"/>
          <w:szCs w:val="20"/>
          <w:lang w:bidi="ar-SA"/>
        </w:rPr>
        <w:t>, 6(3): 317-323.</w:t>
      </w:r>
    </w:p>
    <w:p w14:paraId="573AE686" w14:textId="77777777" w:rsidR="00736B20" w:rsidRPr="00810D8A" w:rsidRDefault="00D5755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Luis, G., Rubio, C., Gutiérrez, Á. J., González-Weller, D., Revert, C. and Hardisson, A. (2014). Evaluation of metals in several varieties of sweet potatoes (</w:t>
      </w:r>
      <w:r w:rsidRPr="00810D8A">
        <w:rPr>
          <w:rFonts w:ascii="Times New Roman" w:eastAsia="MS Mincho" w:hAnsi="Times New Roman"/>
          <w:i/>
          <w:iCs/>
          <w:noProof/>
          <w:color w:val="000000"/>
          <w:sz w:val="20"/>
          <w:szCs w:val="20"/>
          <w:lang w:bidi="ar-SA"/>
        </w:rPr>
        <w:t>Ipomoea batatas</w:t>
      </w:r>
      <w:r w:rsidRPr="00810D8A">
        <w:rPr>
          <w:rFonts w:ascii="Times New Roman" w:eastAsia="MS Mincho" w:hAnsi="Times New Roman"/>
          <w:noProof/>
          <w:color w:val="000000"/>
          <w:sz w:val="20"/>
          <w:szCs w:val="20"/>
          <w:lang w:bidi="ar-SA"/>
        </w:rPr>
        <w:t xml:space="preserve"> L.): Comparative study. </w:t>
      </w:r>
      <w:r w:rsidRPr="00810D8A">
        <w:rPr>
          <w:rFonts w:ascii="Times New Roman" w:eastAsia="MS Mincho" w:hAnsi="Times New Roman"/>
          <w:i/>
          <w:iCs/>
          <w:noProof/>
          <w:color w:val="000000"/>
          <w:sz w:val="20"/>
          <w:szCs w:val="20"/>
          <w:lang w:bidi="ar-SA"/>
        </w:rPr>
        <w:t xml:space="preserve">Environmental Monitoring and Assessment, </w:t>
      </w:r>
      <w:r w:rsidRPr="00810D8A">
        <w:rPr>
          <w:rFonts w:ascii="Times New Roman" w:eastAsia="MS Mincho" w:hAnsi="Times New Roman"/>
          <w:noProof/>
          <w:color w:val="000000"/>
          <w:sz w:val="20"/>
          <w:szCs w:val="20"/>
          <w:lang w:bidi="ar-SA"/>
        </w:rPr>
        <w:t xml:space="preserve">186(1): 433-440. </w:t>
      </w:r>
    </w:p>
    <w:p w14:paraId="5371301A" w14:textId="77777777" w:rsidR="003023AC" w:rsidRPr="00810D8A" w:rsidRDefault="003023AC" w:rsidP="00810D8A">
      <w:pPr>
        <w:widowControl w:val="0"/>
        <w:autoSpaceDE w:val="0"/>
        <w:autoSpaceDN w:val="0"/>
        <w:adjustRightInd w:val="0"/>
        <w:spacing w:after="0"/>
        <w:jc w:val="both"/>
        <w:rPr>
          <w:rFonts w:ascii="Times New Roman" w:eastAsia="MS Mincho" w:hAnsi="Times New Roman"/>
          <w:noProof/>
          <w:color w:val="000000"/>
          <w:sz w:val="20"/>
          <w:szCs w:val="20"/>
          <w:lang w:bidi="ar-SA"/>
        </w:rPr>
        <w:sectPr w:rsidR="003023AC" w:rsidRPr="00810D8A" w:rsidSect="00736B20">
          <w:footerReference w:type="even" r:id="rId30"/>
          <w:footerReference w:type="default" r:id="rId31"/>
          <w:type w:val="continuous"/>
          <w:pgSz w:w="12240" w:h="15840" w:code="1"/>
          <w:pgMar w:top="1800" w:right="1469" w:bottom="1699" w:left="1440" w:header="706" w:footer="706" w:gutter="0"/>
          <w:pgNumType w:start="1"/>
          <w:cols w:num="2" w:space="403"/>
          <w:docGrid w:linePitch="360"/>
        </w:sectPr>
      </w:pPr>
    </w:p>
    <w:p w14:paraId="0CE84DE4" w14:textId="34DDDB41" w:rsidR="00736B20" w:rsidRPr="00810D8A" w:rsidRDefault="00736B20" w:rsidP="00810D8A">
      <w:pPr>
        <w:pStyle w:val="ListParagraph"/>
        <w:widowControl w:val="0"/>
        <w:numPr>
          <w:ilvl w:val="0"/>
          <w:numId w:val="3"/>
        </w:numPr>
        <w:autoSpaceDE w:val="0"/>
        <w:autoSpaceDN w:val="0"/>
        <w:adjustRightInd w:val="0"/>
        <w:spacing w:after="0"/>
        <w:ind w:left="360"/>
        <w:contextualSpacing w:val="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lastRenderedPageBreak/>
        <w:t>Rubio, C., Lucas, J. R. D., Gutiérrez, A. J., Glez-Weller, D., Pérez Marrero, B., Caballero, J. M., Revert, C. and Hardisson, A. (2012). Evaluation of metal concentrations in mentha herbal teas (</w:t>
      </w:r>
      <w:r w:rsidRPr="00810D8A">
        <w:rPr>
          <w:rFonts w:ascii="Times New Roman" w:eastAsia="MS Mincho" w:hAnsi="Times New Roman"/>
          <w:i/>
          <w:iCs/>
          <w:noProof/>
          <w:color w:val="000000"/>
          <w:sz w:val="20"/>
          <w:szCs w:val="20"/>
          <w:lang w:bidi="ar-SA"/>
        </w:rPr>
        <w:t>Mentha piperita, Mentha pulegium</w:t>
      </w:r>
      <w:r w:rsidRPr="00810D8A">
        <w:rPr>
          <w:rFonts w:ascii="Times New Roman" w:eastAsia="MS Mincho" w:hAnsi="Times New Roman"/>
          <w:noProof/>
          <w:color w:val="000000"/>
          <w:sz w:val="20"/>
          <w:szCs w:val="20"/>
          <w:lang w:bidi="ar-SA"/>
        </w:rPr>
        <w:t xml:space="preserve"> and Mentha species) by inductively coupled plasma spectrometry. </w:t>
      </w:r>
      <w:r w:rsidRPr="00810D8A">
        <w:rPr>
          <w:rFonts w:ascii="Times New Roman" w:eastAsia="MS Mincho" w:hAnsi="Times New Roman"/>
          <w:i/>
          <w:iCs/>
          <w:noProof/>
          <w:color w:val="000000"/>
          <w:sz w:val="20"/>
          <w:szCs w:val="20"/>
          <w:lang w:bidi="ar-SA"/>
        </w:rPr>
        <w:t>Journal of Pharmaceutical and Biomedical Analysis,</w:t>
      </w:r>
      <w:r w:rsidRPr="00810D8A">
        <w:rPr>
          <w:rFonts w:ascii="Times New Roman" w:eastAsia="MS Mincho" w:hAnsi="Times New Roman"/>
          <w:noProof/>
          <w:color w:val="000000"/>
          <w:sz w:val="20"/>
          <w:szCs w:val="20"/>
          <w:lang w:bidi="ar-SA"/>
        </w:rPr>
        <w:t xml:space="preserve"> 71: 11-17. </w:t>
      </w:r>
    </w:p>
    <w:p w14:paraId="4700EEAE" w14:textId="6FF28E65" w:rsidR="00736B20" w:rsidRPr="00074E00"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Vieira, D. M., Da Costa, A. C. A., Henriques, C. A., Cardoso, V. L. and De França, F. P. (2007). Biosorption of lead by the brown seaweed </w:t>
      </w:r>
      <w:r w:rsidRPr="00810D8A">
        <w:rPr>
          <w:rFonts w:ascii="Times New Roman" w:eastAsia="MS Mincho" w:hAnsi="Times New Roman"/>
          <w:i/>
          <w:iCs/>
          <w:noProof/>
          <w:color w:val="000000"/>
          <w:sz w:val="20"/>
          <w:szCs w:val="20"/>
          <w:lang w:bidi="ar-SA"/>
        </w:rPr>
        <w:t>Sargassum filipendula</w:t>
      </w:r>
      <w:r w:rsidRPr="00810D8A">
        <w:rPr>
          <w:rFonts w:ascii="Times New Roman" w:eastAsia="MS Mincho" w:hAnsi="Times New Roman"/>
          <w:noProof/>
          <w:color w:val="000000"/>
          <w:sz w:val="20"/>
          <w:szCs w:val="20"/>
          <w:lang w:bidi="ar-SA"/>
        </w:rPr>
        <w:t xml:space="preserve"> - Batch and continuous pilot studies. </w:t>
      </w:r>
      <w:r w:rsidRPr="00810D8A">
        <w:rPr>
          <w:rFonts w:ascii="Times New Roman" w:eastAsia="MS Mincho" w:hAnsi="Times New Roman"/>
          <w:i/>
          <w:iCs/>
          <w:noProof/>
          <w:color w:val="000000"/>
          <w:sz w:val="20"/>
          <w:szCs w:val="20"/>
          <w:lang w:bidi="ar-SA"/>
        </w:rPr>
        <w:t>Electronic Journal of Biotechnology,</w:t>
      </w:r>
      <w:r w:rsidRPr="00810D8A">
        <w:rPr>
          <w:rFonts w:ascii="Times New Roman" w:eastAsia="MS Mincho" w:hAnsi="Times New Roman"/>
          <w:noProof/>
          <w:color w:val="000000"/>
          <w:sz w:val="20"/>
          <w:szCs w:val="20"/>
          <w:lang w:bidi="ar-SA"/>
        </w:rPr>
        <w:t xml:space="preserve"> 10(3): 368-375. </w:t>
      </w:r>
      <w:r w:rsidR="001921CF" w:rsidRPr="00074E00">
        <w:rPr>
          <w:rFonts w:ascii="Times New Roman" w:hAnsi="Times New Roman"/>
          <w:sz w:val="20"/>
          <w:szCs w:val="20"/>
        </w:rPr>
        <w:t>https://doi.org/10.2225/vol10-issue3-fulltext-3</w:t>
      </w:r>
      <w:r w:rsidRPr="00074E00">
        <w:rPr>
          <w:rFonts w:ascii="Times New Roman" w:eastAsia="MS Mincho" w:hAnsi="Times New Roman"/>
          <w:noProof/>
          <w:color w:val="000000"/>
          <w:sz w:val="20"/>
          <w:szCs w:val="20"/>
          <w:lang w:bidi="ar-SA"/>
        </w:rPr>
        <w:t xml:space="preserve"> </w:t>
      </w:r>
    </w:p>
    <w:p w14:paraId="09D174A9"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Da̧browski, A. (2001). Adsorption - From theory to practice. </w:t>
      </w:r>
      <w:r w:rsidRPr="00810D8A">
        <w:rPr>
          <w:rFonts w:ascii="Times New Roman" w:eastAsia="MS Mincho" w:hAnsi="Times New Roman"/>
          <w:i/>
          <w:iCs/>
          <w:noProof/>
          <w:color w:val="000000"/>
          <w:sz w:val="20"/>
          <w:szCs w:val="20"/>
          <w:lang w:bidi="ar-SA"/>
        </w:rPr>
        <w:t>Advances in Colloid and Interface Science,</w:t>
      </w:r>
      <w:r w:rsidRPr="00810D8A">
        <w:rPr>
          <w:rFonts w:ascii="Times New Roman" w:eastAsia="MS Mincho" w:hAnsi="Times New Roman"/>
          <w:noProof/>
          <w:color w:val="000000"/>
          <w:sz w:val="20"/>
          <w:szCs w:val="20"/>
          <w:lang w:bidi="ar-SA"/>
        </w:rPr>
        <w:t xml:space="preserve"> 93(1–3): 135-224. </w:t>
      </w:r>
    </w:p>
    <w:p w14:paraId="43753D01"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Yang, C. hai. (1998). Statistical mechanical study on the Freundlich isotherm equation. </w:t>
      </w:r>
      <w:r w:rsidRPr="00810D8A">
        <w:rPr>
          <w:rFonts w:ascii="Times New Roman" w:eastAsia="MS Mincho" w:hAnsi="Times New Roman"/>
          <w:i/>
          <w:iCs/>
          <w:noProof/>
          <w:color w:val="000000"/>
          <w:sz w:val="20"/>
          <w:szCs w:val="20"/>
          <w:lang w:bidi="ar-SA"/>
        </w:rPr>
        <w:t>Journal of Colloid and Interface Science,</w:t>
      </w:r>
      <w:r w:rsidRPr="00810D8A">
        <w:rPr>
          <w:rFonts w:ascii="Times New Roman" w:eastAsia="MS Mincho" w:hAnsi="Times New Roman"/>
          <w:noProof/>
          <w:color w:val="000000"/>
          <w:sz w:val="20"/>
          <w:szCs w:val="20"/>
          <w:lang w:bidi="ar-SA"/>
        </w:rPr>
        <w:t xml:space="preserve"> 208(2): 379-387.</w:t>
      </w:r>
    </w:p>
    <w:p w14:paraId="03B21F64" w14:textId="0FC96C61"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Hall, K. R., Eagleton, L. C., Acrivos, A. and Vermeulen, T. (1966). Pore- and solid diffusion kinetics in fixed-bed adsorption under constant pattern conditions. </w:t>
      </w:r>
      <w:r w:rsidRPr="00810D8A">
        <w:rPr>
          <w:rFonts w:ascii="Times New Roman" w:eastAsia="MS Mincho" w:hAnsi="Times New Roman"/>
          <w:i/>
          <w:iCs/>
          <w:noProof/>
          <w:color w:val="000000"/>
          <w:sz w:val="20"/>
          <w:szCs w:val="20"/>
          <w:lang w:bidi="ar-SA"/>
        </w:rPr>
        <w:t>Industrial and Engineering Chemistry Fundamentals,</w:t>
      </w:r>
      <w:r w:rsidRPr="00810D8A">
        <w:rPr>
          <w:rFonts w:ascii="Times New Roman" w:eastAsia="MS Mincho" w:hAnsi="Times New Roman"/>
          <w:noProof/>
          <w:color w:val="000000"/>
          <w:sz w:val="20"/>
          <w:szCs w:val="20"/>
          <w:lang w:bidi="ar-SA"/>
        </w:rPr>
        <w:t xml:space="preserve"> 5(2):</w:t>
      </w:r>
      <w:r w:rsidR="00FB07B8">
        <w:rPr>
          <w:rFonts w:ascii="Times New Roman" w:eastAsia="MS Mincho" w:hAnsi="Times New Roman"/>
          <w:noProof/>
          <w:color w:val="000000"/>
          <w:sz w:val="20"/>
          <w:szCs w:val="20"/>
          <w:lang w:bidi="ar-SA"/>
        </w:rPr>
        <w:t xml:space="preserve"> </w:t>
      </w:r>
      <w:r w:rsidRPr="00810D8A">
        <w:rPr>
          <w:rFonts w:ascii="Times New Roman" w:eastAsia="MS Mincho" w:hAnsi="Times New Roman"/>
          <w:noProof/>
          <w:color w:val="000000"/>
          <w:sz w:val="20"/>
          <w:szCs w:val="20"/>
          <w:lang w:bidi="ar-SA"/>
        </w:rPr>
        <w:t xml:space="preserve">212-223. </w:t>
      </w:r>
      <w:r w:rsidR="001921CF" w:rsidRPr="00074E00">
        <w:rPr>
          <w:rFonts w:ascii="Times New Roman" w:hAnsi="Times New Roman"/>
          <w:sz w:val="20"/>
          <w:szCs w:val="20"/>
        </w:rPr>
        <w:t>https://doi.org/10.1021/i160018a011</w:t>
      </w:r>
    </w:p>
    <w:p w14:paraId="636AF281"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Febrianto, J., Kosasih, A. N., Sunarso, J., Ju, Y. H., Indraswati, N. and Ismadji, S. (2009). Equilibrium and kinetic studies in adsorption of heavy metals using biosorbent: a summary of recent studies. </w:t>
      </w:r>
      <w:r w:rsidRPr="00810D8A">
        <w:rPr>
          <w:rFonts w:ascii="Times New Roman" w:eastAsia="MS Mincho" w:hAnsi="Times New Roman"/>
          <w:i/>
          <w:iCs/>
          <w:noProof/>
          <w:color w:val="000000"/>
          <w:sz w:val="20"/>
          <w:szCs w:val="20"/>
          <w:lang w:bidi="ar-SA"/>
        </w:rPr>
        <w:t xml:space="preserve">Journal Of Hazardous Materials, </w:t>
      </w:r>
      <w:r w:rsidRPr="00810D8A">
        <w:rPr>
          <w:rFonts w:ascii="Times New Roman" w:eastAsia="MS Mincho" w:hAnsi="Times New Roman"/>
          <w:noProof/>
          <w:color w:val="000000"/>
          <w:sz w:val="20"/>
          <w:szCs w:val="20"/>
          <w:lang w:bidi="ar-SA"/>
        </w:rPr>
        <w:t>162(2-3): 616-645.</w:t>
      </w:r>
    </w:p>
    <w:p w14:paraId="18E61B07"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Ho, Y. S. and Ofomaja, A. E. (2006). Pseudo-second-order model for lead ion sorption from aqueous solutions onto palm kernel fiber.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xml:space="preserve"> 129(1–3): 137-142. </w:t>
      </w:r>
    </w:p>
    <w:p w14:paraId="4EA79F0E"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bookmarkStart w:id="50" w:name="_Hlk95068202"/>
      <w:r w:rsidRPr="00810D8A">
        <w:rPr>
          <w:rFonts w:ascii="Times New Roman" w:eastAsia="MS Mincho" w:hAnsi="Times New Roman"/>
          <w:noProof/>
          <w:color w:val="000000"/>
          <w:sz w:val="20"/>
          <w:szCs w:val="20"/>
          <w:lang w:bidi="ar-SA"/>
        </w:rPr>
        <w:t xml:space="preserve">Sheikh, M. A., Noah, N. M., Tsuha, K. and Oomori, T. (2007). Occurrence of tributyltin compounds and characteristics of heavy metals. </w:t>
      </w:r>
      <w:r w:rsidRPr="00810D8A">
        <w:rPr>
          <w:rFonts w:ascii="Times New Roman" w:eastAsia="MS Mincho" w:hAnsi="Times New Roman"/>
          <w:i/>
          <w:iCs/>
          <w:noProof/>
          <w:color w:val="000000"/>
          <w:sz w:val="20"/>
          <w:szCs w:val="20"/>
          <w:lang w:bidi="ar-SA"/>
        </w:rPr>
        <w:t>International Journal of Environmental Science and Technology,</w:t>
      </w:r>
      <w:r w:rsidRPr="00810D8A">
        <w:rPr>
          <w:rFonts w:ascii="Times New Roman" w:eastAsia="MS Mincho" w:hAnsi="Times New Roman"/>
          <w:noProof/>
          <w:color w:val="000000"/>
          <w:sz w:val="20"/>
          <w:szCs w:val="20"/>
          <w:lang w:bidi="ar-SA"/>
        </w:rPr>
        <w:t xml:space="preserve"> 4(1): 49-59. </w:t>
      </w:r>
    </w:p>
    <w:bookmarkEnd w:id="50"/>
    <w:p w14:paraId="0F8DA8D1"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Yoonaiwong, W., Kaewsarn, P. and Reanprayoon, P. (2011). Biosorption of lead and cadmium ions by non-living aquatic macrophyte, </w:t>
      </w:r>
      <w:r w:rsidRPr="00810D8A">
        <w:rPr>
          <w:rFonts w:ascii="Times New Roman" w:eastAsia="MS Mincho" w:hAnsi="Times New Roman"/>
          <w:i/>
          <w:iCs/>
          <w:noProof/>
          <w:color w:val="000000"/>
          <w:sz w:val="20"/>
          <w:szCs w:val="20"/>
          <w:lang w:bidi="ar-SA"/>
        </w:rPr>
        <w:t>Utricularia aurea.</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Sustainable Environment Research,</w:t>
      </w:r>
      <w:r w:rsidRPr="00810D8A">
        <w:rPr>
          <w:rFonts w:ascii="Times New Roman" w:eastAsia="MS Mincho" w:hAnsi="Times New Roman"/>
          <w:noProof/>
          <w:color w:val="000000"/>
          <w:sz w:val="20"/>
          <w:szCs w:val="20"/>
          <w:lang w:bidi="ar-SA"/>
        </w:rPr>
        <w:t xml:space="preserve"> 21(6): 369-</w:t>
      </w:r>
      <w:r w:rsidRPr="00810D8A">
        <w:rPr>
          <w:rFonts w:ascii="Times New Roman" w:eastAsia="MS Mincho" w:hAnsi="Times New Roman"/>
          <w:noProof/>
          <w:color w:val="000000"/>
          <w:sz w:val="20"/>
          <w:szCs w:val="20"/>
          <w:lang w:bidi="ar-SA"/>
        </w:rPr>
        <w:t>374.</w:t>
      </w:r>
    </w:p>
    <w:p w14:paraId="48920D67"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Oyedepo, T. A. (2011). Biosorption of lead (II) and copper (II) metal ions on </w:t>
      </w:r>
      <w:r w:rsidRPr="00810D8A">
        <w:rPr>
          <w:rFonts w:ascii="Times New Roman" w:eastAsia="MS Mincho" w:hAnsi="Times New Roman"/>
          <w:i/>
          <w:iCs/>
          <w:noProof/>
          <w:color w:val="000000"/>
          <w:sz w:val="20"/>
          <w:szCs w:val="20"/>
          <w:lang w:bidi="ar-SA"/>
        </w:rPr>
        <w:t>Calotropis procera</w:t>
      </w:r>
      <w:r w:rsidRPr="00810D8A">
        <w:rPr>
          <w:rFonts w:ascii="Times New Roman" w:eastAsia="MS Mincho" w:hAnsi="Times New Roman"/>
          <w:noProof/>
          <w:color w:val="000000"/>
          <w:sz w:val="20"/>
          <w:szCs w:val="20"/>
          <w:lang w:bidi="ar-SA"/>
        </w:rPr>
        <w:t xml:space="preserve"> (Ait.). </w:t>
      </w:r>
      <w:r w:rsidRPr="00810D8A">
        <w:rPr>
          <w:rFonts w:ascii="Times New Roman" w:eastAsia="MS Mincho" w:hAnsi="Times New Roman"/>
          <w:i/>
          <w:iCs/>
          <w:noProof/>
          <w:color w:val="000000"/>
          <w:sz w:val="20"/>
          <w:szCs w:val="20"/>
          <w:lang w:bidi="ar-SA"/>
        </w:rPr>
        <w:t>Science Journal of Purel &amp; Applied Chemistry,</w:t>
      </w:r>
      <w:r w:rsidRPr="00810D8A">
        <w:rPr>
          <w:rFonts w:ascii="Times New Roman" w:eastAsia="MS Mincho" w:hAnsi="Times New Roman"/>
          <w:noProof/>
          <w:color w:val="000000"/>
          <w:sz w:val="20"/>
          <w:szCs w:val="20"/>
          <w:lang w:bidi="ar-SA"/>
        </w:rPr>
        <w:t xml:space="preserve"> 2011: 1-7.</w:t>
      </w:r>
    </w:p>
    <w:p w14:paraId="2618FA17"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Vilar, V. J. P., Botelho, C. M. S. and Boaventura, R. A. R. (2008). Copper removal by algae Gelidium, agar extraction algal waste and granulated algal waste: Kinetics and equilibrium. </w:t>
      </w:r>
      <w:r w:rsidRPr="00810D8A">
        <w:rPr>
          <w:rFonts w:ascii="Times New Roman" w:eastAsia="MS Mincho" w:hAnsi="Times New Roman"/>
          <w:i/>
          <w:iCs/>
          <w:noProof/>
          <w:color w:val="000000"/>
          <w:sz w:val="20"/>
          <w:szCs w:val="20"/>
          <w:lang w:bidi="ar-SA"/>
        </w:rPr>
        <w:t>Bioresource Technology,</w:t>
      </w:r>
      <w:r w:rsidRPr="00810D8A">
        <w:rPr>
          <w:rFonts w:ascii="Times New Roman" w:eastAsia="MS Mincho" w:hAnsi="Times New Roman"/>
          <w:noProof/>
          <w:color w:val="000000"/>
          <w:sz w:val="20"/>
          <w:szCs w:val="20"/>
          <w:lang w:bidi="ar-SA"/>
        </w:rPr>
        <w:t xml:space="preserve"> 99(4): 750-762.</w:t>
      </w:r>
    </w:p>
    <w:p w14:paraId="273F1DBF"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Ali Redha, A. (2020). Removal of heavy metals from aqueous media by biosorption. </w:t>
      </w:r>
      <w:r w:rsidRPr="00810D8A">
        <w:rPr>
          <w:rFonts w:ascii="Times New Roman" w:eastAsia="MS Mincho" w:hAnsi="Times New Roman"/>
          <w:i/>
          <w:iCs/>
          <w:noProof/>
          <w:color w:val="000000"/>
          <w:sz w:val="20"/>
          <w:szCs w:val="20"/>
          <w:lang w:bidi="ar-SA"/>
        </w:rPr>
        <w:t>Arab Journal of Basic and Applied Sciences,</w:t>
      </w:r>
      <w:r w:rsidRPr="00810D8A">
        <w:rPr>
          <w:rFonts w:ascii="Times New Roman" w:eastAsia="MS Mincho" w:hAnsi="Times New Roman"/>
          <w:noProof/>
          <w:color w:val="000000"/>
          <w:sz w:val="20"/>
          <w:szCs w:val="20"/>
          <w:lang w:bidi="ar-SA"/>
        </w:rPr>
        <w:t xml:space="preserve"> 27(1): 183-193.</w:t>
      </w:r>
    </w:p>
    <w:p w14:paraId="3B64F69D"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Murphy, V., Hughes, H. and McLoughlin, P. (2007). Cu(II) binding by dried biomass of red, green, and brown macroalgae. </w:t>
      </w:r>
      <w:r w:rsidRPr="00810D8A">
        <w:rPr>
          <w:rFonts w:ascii="Times New Roman" w:eastAsia="MS Mincho" w:hAnsi="Times New Roman"/>
          <w:i/>
          <w:iCs/>
          <w:noProof/>
          <w:color w:val="000000"/>
          <w:sz w:val="20"/>
          <w:szCs w:val="20"/>
          <w:lang w:bidi="ar-SA"/>
        </w:rPr>
        <w:t>Water Research</w:t>
      </w:r>
      <w:r w:rsidRPr="00810D8A">
        <w:rPr>
          <w:rFonts w:ascii="Times New Roman" w:eastAsia="MS Mincho" w:hAnsi="Times New Roman"/>
          <w:noProof/>
          <w:color w:val="000000"/>
          <w:sz w:val="20"/>
          <w:szCs w:val="20"/>
          <w:lang w:bidi="ar-SA"/>
        </w:rPr>
        <w:t xml:space="preserve">, 41(4): 731-740. </w:t>
      </w:r>
    </w:p>
    <w:p w14:paraId="2B55B0CA"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Vilar, V. J. P., Botelho, C. M. S. and Boaventura, R. A. R. (2008b). Lead uptake by algae Gelidium and composite material particles in a packed bed column. </w:t>
      </w:r>
      <w:r w:rsidRPr="00810D8A">
        <w:rPr>
          <w:rFonts w:ascii="Times New Roman" w:eastAsia="MS Mincho" w:hAnsi="Times New Roman"/>
          <w:i/>
          <w:iCs/>
          <w:noProof/>
          <w:color w:val="000000"/>
          <w:sz w:val="20"/>
          <w:szCs w:val="20"/>
          <w:lang w:bidi="ar-SA"/>
        </w:rPr>
        <w:t>Chemical Engineering Journal</w:t>
      </w:r>
      <w:r w:rsidRPr="00810D8A">
        <w:rPr>
          <w:rFonts w:ascii="Times New Roman" w:eastAsia="MS Mincho" w:hAnsi="Times New Roman"/>
          <w:noProof/>
          <w:color w:val="000000"/>
          <w:sz w:val="20"/>
          <w:szCs w:val="20"/>
          <w:lang w:bidi="ar-SA"/>
        </w:rPr>
        <w:t xml:space="preserve">, 144(3): 420-430. </w:t>
      </w:r>
    </w:p>
    <w:p w14:paraId="116C015D"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Farooq, U., Kozinski, J. A., Khan, M. A. and Athar, M. (2010). Biosorption of heavy metal ions using wheat-based biosorbents - A review of the recent literature. </w:t>
      </w:r>
      <w:r w:rsidRPr="00810D8A">
        <w:rPr>
          <w:rFonts w:ascii="Times New Roman" w:eastAsia="MS Mincho" w:hAnsi="Times New Roman"/>
          <w:i/>
          <w:iCs/>
          <w:noProof/>
          <w:color w:val="000000"/>
          <w:sz w:val="20"/>
          <w:szCs w:val="20"/>
          <w:lang w:bidi="ar-SA"/>
        </w:rPr>
        <w:t>Bioresource Technology</w:t>
      </w:r>
      <w:r w:rsidRPr="00810D8A">
        <w:rPr>
          <w:rFonts w:ascii="Times New Roman" w:eastAsia="MS Mincho" w:hAnsi="Times New Roman"/>
          <w:noProof/>
          <w:color w:val="000000"/>
          <w:sz w:val="20"/>
          <w:szCs w:val="20"/>
          <w:lang w:bidi="ar-SA"/>
        </w:rPr>
        <w:t xml:space="preserve">, 101(14): 5043-5053. </w:t>
      </w:r>
    </w:p>
    <w:p w14:paraId="777D074D"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Escudero, C., Fiol, N., Villaescusa, I. and Bollinger, J. C. (2009). Arsenic removal by a waste metal hydroxide entrapped into calcium alginate beads.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xml:space="preserve"> 164(2–3), 533–541. </w:t>
      </w:r>
    </w:p>
    <w:p w14:paraId="128E0FDC"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Yipmantin, A., Maldonado, H. J., Ly, M., Taulemesse, J. M. and Guibal, E. (2011). Pb(II) and Cd(II) biosorption on </w:t>
      </w:r>
      <w:r w:rsidRPr="00810D8A">
        <w:rPr>
          <w:rFonts w:ascii="Times New Roman" w:eastAsia="MS Mincho" w:hAnsi="Times New Roman"/>
          <w:i/>
          <w:iCs/>
          <w:noProof/>
          <w:color w:val="000000"/>
          <w:sz w:val="20"/>
          <w:szCs w:val="20"/>
          <w:lang w:bidi="ar-SA"/>
        </w:rPr>
        <w:t>Chondracanthus chamissoi</w:t>
      </w:r>
      <w:r w:rsidRPr="00810D8A">
        <w:rPr>
          <w:rFonts w:ascii="Times New Roman" w:eastAsia="MS Mincho" w:hAnsi="Times New Roman"/>
          <w:noProof/>
          <w:color w:val="000000"/>
          <w:sz w:val="20"/>
          <w:szCs w:val="20"/>
          <w:lang w:bidi="ar-SA"/>
        </w:rPr>
        <w:t xml:space="preserve"> (a red alga).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xml:space="preserve"> 185(2–3): 922-929. </w:t>
      </w:r>
    </w:p>
    <w:p w14:paraId="6F031A33"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Lee, S. H., &amp; Park, C. H. (2012). Biosorption of heavy metal ions by brown seaweeds from the southern coast of Korea. </w:t>
      </w:r>
      <w:r w:rsidRPr="00810D8A">
        <w:rPr>
          <w:rFonts w:ascii="Times New Roman" w:eastAsia="MS Mincho" w:hAnsi="Times New Roman"/>
          <w:i/>
          <w:iCs/>
          <w:noProof/>
          <w:color w:val="000000"/>
          <w:sz w:val="20"/>
          <w:szCs w:val="20"/>
          <w:lang w:bidi="ar-SA"/>
        </w:rPr>
        <w:t>Biotechnology and Bioprocess Engineering,</w:t>
      </w:r>
      <w:r w:rsidRPr="00810D8A">
        <w:rPr>
          <w:rFonts w:ascii="Times New Roman" w:eastAsia="MS Mincho" w:hAnsi="Times New Roman"/>
          <w:noProof/>
          <w:color w:val="000000"/>
          <w:sz w:val="20"/>
          <w:szCs w:val="20"/>
          <w:lang w:bidi="ar-SA"/>
        </w:rPr>
        <w:t xml:space="preserve"> 17(4): 853-861. </w:t>
      </w:r>
    </w:p>
    <w:p w14:paraId="651107F8"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Nessim, R. B., Bassiouny, A. R., Zaki, H. R., Moawad, M. N. and Kandeel, K. M. (2011). Biosorption of lead and cadmium using marine algae. </w:t>
      </w:r>
      <w:r w:rsidRPr="00810D8A">
        <w:rPr>
          <w:rFonts w:ascii="Times New Roman" w:eastAsia="MS Mincho" w:hAnsi="Times New Roman"/>
          <w:i/>
          <w:iCs/>
          <w:noProof/>
          <w:color w:val="000000"/>
          <w:sz w:val="20"/>
          <w:szCs w:val="20"/>
          <w:lang w:bidi="ar-SA"/>
        </w:rPr>
        <w:t>Chemistry and Ecology,</w:t>
      </w:r>
      <w:r w:rsidRPr="00810D8A">
        <w:rPr>
          <w:rFonts w:ascii="Times New Roman" w:eastAsia="MS Mincho" w:hAnsi="Times New Roman"/>
          <w:noProof/>
          <w:color w:val="000000"/>
          <w:sz w:val="20"/>
          <w:szCs w:val="20"/>
          <w:lang w:bidi="ar-SA"/>
        </w:rPr>
        <w:t xml:space="preserve"> 27(6): 579-594. </w:t>
      </w:r>
    </w:p>
    <w:p w14:paraId="7C38E116" w14:textId="77777777" w:rsidR="00736B20" w:rsidRPr="00810D8A" w:rsidRDefault="00736B20" w:rsidP="00810D8A">
      <w:pPr>
        <w:widowControl w:val="0"/>
        <w:autoSpaceDE w:val="0"/>
        <w:autoSpaceDN w:val="0"/>
        <w:adjustRightInd w:val="0"/>
        <w:spacing w:after="0"/>
        <w:jc w:val="both"/>
        <w:rPr>
          <w:rFonts w:ascii="Times New Roman" w:eastAsia="MS Mincho" w:hAnsi="Times New Roman"/>
          <w:noProof/>
          <w:color w:val="000000"/>
          <w:sz w:val="20"/>
          <w:szCs w:val="20"/>
          <w:lang w:bidi="ar-SA"/>
        </w:rPr>
      </w:pPr>
    </w:p>
    <w:p w14:paraId="20039019" w14:textId="3880C57F" w:rsidR="000250C6" w:rsidRPr="000250C6" w:rsidRDefault="000250C6" w:rsidP="000250C6">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lastRenderedPageBreak/>
        <w:t>Akpomie, K. G., Ezeofor, C. C., Olikagu, C. S., Odewole, O. A. and Ezeorah, C. J. (2018). Abstraction and regeneration potential of temperature-enhanced rice husk montmorillonite combo for oil spill. </w:t>
      </w:r>
      <w:r w:rsidRPr="00810D8A">
        <w:rPr>
          <w:rFonts w:ascii="Times New Roman" w:eastAsia="MS Mincho" w:hAnsi="Times New Roman"/>
          <w:i/>
          <w:iCs/>
          <w:noProof/>
          <w:color w:val="000000"/>
          <w:sz w:val="20"/>
          <w:szCs w:val="20"/>
          <w:lang w:bidi="ar-SA"/>
        </w:rPr>
        <w:t>Environmental Science and Pollution Research,</w:t>
      </w:r>
      <w:r w:rsidRPr="00810D8A">
        <w:rPr>
          <w:rFonts w:ascii="Times New Roman" w:eastAsia="MS Mincho" w:hAnsi="Times New Roman"/>
          <w:noProof/>
          <w:color w:val="000000"/>
          <w:sz w:val="20"/>
          <w:szCs w:val="20"/>
          <w:lang w:bidi="ar-SA"/>
        </w:rPr>
        <w:t> 25(34): 34711-34719.</w:t>
      </w:r>
    </w:p>
    <w:p w14:paraId="3F89864C" w14:textId="46860F3E"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Aroua, M. K., Leong, S. P. P., Teo, L. Y., Yin, C. Y. and Daud, W. M. A. W. (2008). Real-time determination of the kinetics of lead(II) adsorption onto palm shell-based activated carbon using an ion-selective electrode. </w:t>
      </w:r>
      <w:r w:rsidRPr="00810D8A">
        <w:rPr>
          <w:rFonts w:ascii="Times New Roman" w:eastAsia="MS Mincho" w:hAnsi="Times New Roman"/>
          <w:i/>
          <w:iCs/>
          <w:noProof/>
          <w:color w:val="000000"/>
          <w:sz w:val="20"/>
          <w:szCs w:val="20"/>
          <w:lang w:bidi="ar-SA"/>
        </w:rPr>
        <w:t>Bioresource Technology</w:t>
      </w:r>
      <w:r w:rsidRPr="00810D8A">
        <w:rPr>
          <w:rFonts w:ascii="Times New Roman" w:eastAsia="MS Mincho" w:hAnsi="Times New Roman"/>
          <w:noProof/>
          <w:color w:val="000000"/>
          <w:sz w:val="20"/>
          <w:szCs w:val="20"/>
          <w:lang w:bidi="ar-SA"/>
        </w:rPr>
        <w:t xml:space="preserve">, 99(13): 5786-5792. </w:t>
      </w:r>
    </w:p>
    <w:p w14:paraId="19F1D7E5"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Wu, Y., Zhang, S., Guo, X. and Huang, H. (2008). Adsorption of chromium(III) on lignin. </w:t>
      </w:r>
      <w:r w:rsidRPr="00810D8A">
        <w:rPr>
          <w:rFonts w:ascii="Times New Roman" w:eastAsia="MS Mincho" w:hAnsi="Times New Roman"/>
          <w:i/>
          <w:iCs/>
          <w:noProof/>
          <w:color w:val="000000"/>
          <w:sz w:val="20"/>
          <w:szCs w:val="20"/>
          <w:lang w:bidi="ar-SA"/>
        </w:rPr>
        <w:t>Bioresource Technology</w:t>
      </w:r>
      <w:r w:rsidRPr="00810D8A">
        <w:rPr>
          <w:rFonts w:ascii="Times New Roman" w:eastAsia="MS Mincho" w:hAnsi="Times New Roman"/>
          <w:noProof/>
          <w:color w:val="000000"/>
          <w:sz w:val="20"/>
          <w:szCs w:val="20"/>
          <w:lang w:bidi="ar-SA"/>
        </w:rPr>
        <w:t xml:space="preserve">, 99(16): 7709-7715. </w:t>
      </w:r>
    </w:p>
    <w:p w14:paraId="6DF42E33"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i/>
          <w:iCs/>
          <w:noProof/>
          <w:color w:val="000000"/>
          <w:sz w:val="20"/>
          <w:szCs w:val="20"/>
          <w:lang w:bidi="ar-SA"/>
        </w:rPr>
      </w:pPr>
      <w:r w:rsidRPr="00810D8A">
        <w:rPr>
          <w:rFonts w:ascii="Times New Roman" w:eastAsia="MS Mincho" w:hAnsi="Times New Roman"/>
          <w:noProof/>
          <w:color w:val="000000"/>
          <w:sz w:val="20"/>
          <w:szCs w:val="20"/>
          <w:lang w:bidi="ar-SA"/>
        </w:rPr>
        <w:t xml:space="preserve">Bishnoi, N. R. and Pant, A. (2004). Biosorption of copper from an aqueous solution using algal biomass. </w:t>
      </w:r>
      <w:r w:rsidRPr="00810D8A">
        <w:rPr>
          <w:rFonts w:ascii="Times New Roman" w:eastAsia="MS Mincho" w:hAnsi="Times New Roman"/>
          <w:i/>
          <w:iCs/>
          <w:noProof/>
          <w:color w:val="000000"/>
          <w:sz w:val="20"/>
          <w:szCs w:val="20"/>
          <w:lang w:bidi="ar-SA"/>
        </w:rPr>
        <w:t xml:space="preserve">Journal of Scientific and Industrial Research, </w:t>
      </w:r>
      <w:r w:rsidRPr="00810D8A">
        <w:rPr>
          <w:rFonts w:ascii="Times New Roman" w:eastAsia="MS Mincho" w:hAnsi="Times New Roman"/>
          <w:noProof/>
          <w:color w:val="000000"/>
          <w:sz w:val="20"/>
          <w:szCs w:val="20"/>
          <w:lang w:bidi="ar-SA"/>
        </w:rPr>
        <w:t>63: 813-816.</w:t>
      </w:r>
    </w:p>
    <w:p w14:paraId="4B9D5BB4"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color w:val="000000"/>
          <w:sz w:val="20"/>
          <w:szCs w:val="20"/>
          <w:shd w:val="clear" w:color="auto" w:fill="FFFFFF"/>
          <w:lang w:bidi="ar-SA"/>
        </w:rPr>
        <w:t xml:space="preserve">Wang, G., Zhang, S., Yao, P., Chen, Y., Xu, X., Li, T. and Gong, G. (2018). Removal of Pb(II) from aqueous solutions by </w:t>
      </w:r>
      <w:r w:rsidRPr="00810D8A">
        <w:rPr>
          <w:rFonts w:ascii="Times New Roman" w:eastAsia="MS Mincho" w:hAnsi="Times New Roman"/>
          <w:i/>
          <w:iCs/>
          <w:color w:val="000000"/>
          <w:sz w:val="20"/>
          <w:szCs w:val="20"/>
          <w:shd w:val="clear" w:color="auto" w:fill="FFFFFF"/>
          <w:lang w:bidi="ar-SA"/>
        </w:rPr>
        <w:t>Phytolacca americana</w:t>
      </w:r>
      <w:r w:rsidRPr="00810D8A">
        <w:rPr>
          <w:rFonts w:ascii="Times New Roman" w:eastAsia="MS Mincho" w:hAnsi="Times New Roman"/>
          <w:color w:val="000000"/>
          <w:sz w:val="20"/>
          <w:szCs w:val="20"/>
          <w:shd w:val="clear" w:color="auto" w:fill="FFFFFF"/>
          <w:lang w:bidi="ar-SA"/>
        </w:rPr>
        <w:t xml:space="preserve"> L. biomass as a low-cost biosorbent. </w:t>
      </w:r>
      <w:r w:rsidRPr="00810D8A">
        <w:rPr>
          <w:rFonts w:ascii="Times New Roman" w:eastAsia="MS Mincho" w:hAnsi="Times New Roman"/>
          <w:i/>
          <w:iCs/>
          <w:color w:val="000000"/>
          <w:sz w:val="20"/>
          <w:szCs w:val="20"/>
          <w:shd w:val="clear" w:color="auto" w:fill="FFFFFF"/>
          <w:lang w:bidi="ar-SA"/>
        </w:rPr>
        <w:t>Arabian Journal of Chemistry</w:t>
      </w:r>
      <w:r w:rsidRPr="00810D8A">
        <w:rPr>
          <w:rFonts w:ascii="Times New Roman" w:eastAsia="MS Mincho" w:hAnsi="Times New Roman"/>
          <w:color w:val="000000"/>
          <w:sz w:val="20"/>
          <w:szCs w:val="20"/>
          <w:shd w:val="clear" w:color="auto" w:fill="FFFFFF"/>
          <w:lang w:bidi="ar-SA"/>
        </w:rPr>
        <w:t>, 11(1): 99-110.</w:t>
      </w:r>
    </w:p>
    <w:p w14:paraId="6ED3E7EC"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Ghasemi, M., Naushad, M., Ghasemi, N. and Khosravi-fard, Y. (2014). Adsorption of Pb(II) from aqueous solution using new adsorbents prepared from agricultural waste: Adsorption isotherm and kinetic studies. </w:t>
      </w:r>
      <w:r w:rsidRPr="00810D8A">
        <w:rPr>
          <w:rFonts w:ascii="Times New Roman" w:eastAsia="MS Mincho" w:hAnsi="Times New Roman"/>
          <w:i/>
          <w:iCs/>
          <w:noProof/>
          <w:color w:val="000000"/>
          <w:sz w:val="20"/>
          <w:szCs w:val="20"/>
          <w:lang w:bidi="ar-SA"/>
        </w:rPr>
        <w:t>Journal of Industrial and Engineering Chemistry,</w:t>
      </w:r>
      <w:r w:rsidRPr="00810D8A">
        <w:rPr>
          <w:rFonts w:ascii="Times New Roman" w:eastAsia="MS Mincho" w:hAnsi="Times New Roman"/>
          <w:noProof/>
          <w:color w:val="000000"/>
          <w:sz w:val="20"/>
          <w:szCs w:val="20"/>
          <w:lang w:bidi="ar-SA"/>
        </w:rPr>
        <w:t xml:space="preserve"> 20(4): 2193-2199. </w:t>
      </w:r>
    </w:p>
    <w:p w14:paraId="52753947"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Ibrahim, W. M. (2011). Biosorption of heavy metal ions from an aqueous solution by red macroalgae.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xml:space="preserve"> 192(3): 1827-1835. </w:t>
      </w:r>
    </w:p>
    <w:p w14:paraId="76232C09"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i/>
          <w:iCs/>
          <w:noProof/>
          <w:color w:val="000000"/>
          <w:sz w:val="20"/>
          <w:szCs w:val="20"/>
          <w:lang w:bidi="ar-SA"/>
        </w:rPr>
      </w:pPr>
      <w:r w:rsidRPr="00810D8A">
        <w:rPr>
          <w:rFonts w:ascii="Times New Roman" w:eastAsia="MS Mincho" w:hAnsi="Times New Roman"/>
          <w:noProof/>
          <w:color w:val="000000"/>
          <w:sz w:val="20"/>
          <w:szCs w:val="20"/>
          <w:lang w:bidi="ar-SA"/>
        </w:rPr>
        <w:t xml:space="preserve">Ozudogru, Y. (2017). Biosorption of Cu (II) and Pb (ii) ions by using marine brown algae </w:t>
      </w:r>
      <w:r w:rsidRPr="00810D8A">
        <w:rPr>
          <w:rFonts w:ascii="Times New Roman" w:eastAsia="MS Mincho" w:hAnsi="Times New Roman"/>
          <w:i/>
          <w:iCs/>
          <w:noProof/>
          <w:color w:val="000000"/>
          <w:sz w:val="20"/>
          <w:szCs w:val="20"/>
          <w:lang w:bidi="ar-SA"/>
        </w:rPr>
        <w:t>Padina pavonica.</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 xml:space="preserve">Fresenius Environmental Bulletin, </w:t>
      </w:r>
      <w:r w:rsidRPr="00810D8A">
        <w:rPr>
          <w:rFonts w:ascii="Times New Roman" w:eastAsia="MS Mincho" w:hAnsi="Times New Roman"/>
          <w:noProof/>
          <w:color w:val="000000"/>
          <w:sz w:val="20"/>
          <w:szCs w:val="20"/>
          <w:lang w:bidi="ar-SA"/>
        </w:rPr>
        <w:t>22:</w:t>
      </w:r>
      <w:r w:rsidRPr="00810D8A">
        <w:rPr>
          <w:rFonts w:ascii="Times New Roman" w:eastAsia="MS Mincho" w:hAnsi="Times New Roman"/>
          <w:i/>
          <w:iCs/>
          <w:noProof/>
          <w:color w:val="000000"/>
          <w:sz w:val="20"/>
          <w:szCs w:val="20"/>
          <w:lang w:bidi="ar-SA"/>
        </w:rPr>
        <w:t xml:space="preserve"> </w:t>
      </w:r>
      <w:r w:rsidRPr="00810D8A">
        <w:rPr>
          <w:rFonts w:ascii="Times New Roman" w:eastAsia="MS Mincho" w:hAnsi="Times New Roman"/>
          <w:noProof/>
          <w:color w:val="000000"/>
          <w:sz w:val="20"/>
          <w:szCs w:val="20"/>
          <w:lang w:bidi="ar-SA"/>
        </w:rPr>
        <w:t>3725-3729.</w:t>
      </w:r>
    </w:p>
    <w:p w14:paraId="3E5D4DE8"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Arshadi, M., Amiri, M. J. and Mousavi, S. (2014). Kinetic, equilibrium, and thermodynamic investigations of Ni(II), Cd(II), Cu(II), and Co(II) adsorption on barley straw ash. </w:t>
      </w:r>
      <w:r w:rsidRPr="00810D8A">
        <w:rPr>
          <w:rFonts w:ascii="Times New Roman" w:eastAsia="MS Mincho" w:hAnsi="Times New Roman"/>
          <w:i/>
          <w:iCs/>
          <w:noProof/>
          <w:color w:val="000000"/>
          <w:sz w:val="20"/>
          <w:szCs w:val="20"/>
          <w:lang w:bidi="ar-SA"/>
        </w:rPr>
        <w:t>Water Resources and Industry</w:t>
      </w:r>
      <w:r w:rsidRPr="00810D8A">
        <w:rPr>
          <w:rFonts w:ascii="Times New Roman" w:eastAsia="MS Mincho" w:hAnsi="Times New Roman"/>
          <w:noProof/>
          <w:color w:val="000000"/>
          <w:sz w:val="20"/>
          <w:szCs w:val="20"/>
          <w:lang w:bidi="ar-SA"/>
        </w:rPr>
        <w:t>, 6: 1-17.</w:t>
      </w:r>
    </w:p>
    <w:p w14:paraId="1C8281D8" w14:textId="77777777" w:rsidR="00736B20" w:rsidRPr="00810D8A" w:rsidRDefault="00736B20" w:rsidP="00810D8A">
      <w:pPr>
        <w:widowControl w:val="0"/>
        <w:numPr>
          <w:ilvl w:val="0"/>
          <w:numId w:val="3"/>
        </w:numPr>
        <w:autoSpaceDE w:val="0"/>
        <w:autoSpaceDN w:val="0"/>
        <w:adjustRightInd w:val="0"/>
        <w:spacing w:after="0"/>
        <w:ind w:left="360"/>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Naiya, T. K., Bhattacharya, A. K., Mandal, S. and Das, S. K. (2009). The sorption of lead(II) ions on rice husk ash. </w:t>
      </w:r>
      <w:r w:rsidRPr="00810D8A">
        <w:rPr>
          <w:rFonts w:ascii="Times New Roman" w:eastAsia="MS Mincho" w:hAnsi="Times New Roman"/>
          <w:i/>
          <w:iCs/>
          <w:noProof/>
          <w:color w:val="000000"/>
          <w:sz w:val="20"/>
          <w:szCs w:val="20"/>
          <w:lang w:bidi="ar-SA"/>
        </w:rPr>
        <w:t>Journal of Hazardous Materials</w:t>
      </w:r>
      <w:r w:rsidRPr="00810D8A">
        <w:rPr>
          <w:rFonts w:ascii="Times New Roman" w:eastAsia="MS Mincho" w:hAnsi="Times New Roman"/>
          <w:noProof/>
          <w:color w:val="000000"/>
          <w:sz w:val="20"/>
          <w:szCs w:val="20"/>
          <w:lang w:bidi="ar-SA"/>
        </w:rPr>
        <w:t xml:space="preserve">, 163(2–3): 1254-1264. </w:t>
      </w:r>
    </w:p>
    <w:p w14:paraId="55BBF6A9"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Meitei, M. D. and Prasad, M. N. V. (2014). Adsorption of Cu(II), Mn(II), and Zn(II) by </w:t>
      </w:r>
      <w:r w:rsidRPr="00810D8A">
        <w:rPr>
          <w:rFonts w:ascii="Times New Roman" w:eastAsia="MS Mincho" w:hAnsi="Times New Roman"/>
          <w:i/>
          <w:iCs/>
          <w:noProof/>
          <w:color w:val="000000"/>
          <w:sz w:val="20"/>
          <w:szCs w:val="20"/>
          <w:lang w:bidi="ar-SA"/>
        </w:rPr>
        <w:t>Spirodela polyrhiza</w:t>
      </w:r>
      <w:r w:rsidRPr="00810D8A">
        <w:rPr>
          <w:rFonts w:ascii="Times New Roman" w:eastAsia="MS Mincho" w:hAnsi="Times New Roman"/>
          <w:noProof/>
          <w:color w:val="000000"/>
          <w:sz w:val="20"/>
          <w:szCs w:val="20"/>
          <w:lang w:bidi="ar-SA"/>
        </w:rPr>
        <w:t xml:space="preserve"> (L.) Schleiden: Equilibrium, kinetic and thermodynamic studies. </w:t>
      </w:r>
      <w:r w:rsidRPr="00810D8A">
        <w:rPr>
          <w:rFonts w:ascii="Times New Roman" w:eastAsia="MS Mincho" w:hAnsi="Times New Roman"/>
          <w:i/>
          <w:iCs/>
          <w:noProof/>
          <w:color w:val="000000"/>
          <w:sz w:val="20"/>
          <w:szCs w:val="20"/>
          <w:lang w:bidi="ar-SA"/>
        </w:rPr>
        <w:t>Ecological Engineering</w:t>
      </w:r>
      <w:r w:rsidRPr="00810D8A">
        <w:rPr>
          <w:rFonts w:ascii="Times New Roman" w:eastAsia="MS Mincho" w:hAnsi="Times New Roman"/>
          <w:noProof/>
          <w:color w:val="000000"/>
          <w:sz w:val="20"/>
          <w:szCs w:val="20"/>
          <w:lang w:bidi="ar-SA"/>
        </w:rPr>
        <w:t xml:space="preserve">, 71: 308-317. </w:t>
      </w:r>
    </w:p>
    <w:p w14:paraId="26F29E44"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Al-Homaidan, A. A., Al-Houri, H. J., Al-Hazzani, A. A., Elgaaly, G. and Moubayed, N. M. S. (2014). Biosorption of copper ions from aqueous solutions by Spirulina platensis biomass. </w:t>
      </w:r>
      <w:r w:rsidRPr="00810D8A">
        <w:rPr>
          <w:rFonts w:ascii="Times New Roman" w:eastAsia="MS Mincho" w:hAnsi="Times New Roman"/>
          <w:i/>
          <w:iCs/>
          <w:noProof/>
          <w:color w:val="000000"/>
          <w:sz w:val="20"/>
          <w:szCs w:val="20"/>
          <w:lang w:bidi="ar-SA"/>
        </w:rPr>
        <w:t>Arabian Journal of Chemistry</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7</w:t>
      </w:r>
      <w:r w:rsidRPr="00810D8A">
        <w:rPr>
          <w:rFonts w:ascii="Times New Roman" w:eastAsia="MS Mincho" w:hAnsi="Times New Roman"/>
          <w:noProof/>
          <w:color w:val="000000"/>
          <w:sz w:val="20"/>
          <w:szCs w:val="20"/>
          <w:lang w:bidi="ar-SA"/>
        </w:rPr>
        <w:t xml:space="preserve">(1): 57-62. </w:t>
      </w:r>
    </w:p>
    <w:p w14:paraId="44AE6D9F"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Onwuka, J. C., Ajibola, V. O., Kagbu, J. A. and Manji, A. J. (2011). Biosorption of Cr(VI) and Co(II) ions from synthetic wastewater using dead biomass of freshwater green algae </w:t>
      </w:r>
      <w:r w:rsidRPr="00810D8A">
        <w:rPr>
          <w:rFonts w:ascii="Times New Roman" w:eastAsia="MS Mincho" w:hAnsi="Times New Roman"/>
          <w:i/>
          <w:iCs/>
          <w:noProof/>
          <w:color w:val="000000"/>
          <w:sz w:val="20"/>
          <w:szCs w:val="20"/>
          <w:lang w:bidi="ar-SA"/>
        </w:rPr>
        <w:t>Cosmarium panamense</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Archives of Applied Science Research</w:t>
      </w:r>
      <w:r w:rsidRPr="00810D8A">
        <w:rPr>
          <w:rFonts w:ascii="Times New Roman" w:eastAsia="MS Mincho" w:hAnsi="Times New Roman"/>
          <w:noProof/>
          <w:color w:val="000000"/>
          <w:sz w:val="20"/>
          <w:szCs w:val="20"/>
          <w:lang w:bidi="ar-SA"/>
        </w:rPr>
        <w:t>, 3(6): 191-207.</w:t>
      </w:r>
    </w:p>
    <w:p w14:paraId="72B03B35"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color w:val="000000"/>
          <w:sz w:val="20"/>
          <w:szCs w:val="20"/>
          <w:shd w:val="clear" w:color="auto" w:fill="FFFFFF"/>
          <w:lang w:bidi="ar-SA"/>
        </w:rPr>
        <w:t>Ashraf, M. A., Mahmood, K., Wajid, A., Maah, M. J. and Yusoff, I. (2011). Study of low-cost biosorbent for biosorption of heavy metals. In </w:t>
      </w:r>
      <w:r w:rsidRPr="00810D8A">
        <w:rPr>
          <w:rFonts w:ascii="Times New Roman" w:eastAsia="MS Mincho" w:hAnsi="Times New Roman"/>
          <w:i/>
          <w:iCs/>
          <w:color w:val="000000"/>
          <w:sz w:val="20"/>
          <w:szCs w:val="20"/>
          <w:shd w:val="clear" w:color="auto" w:fill="FFFFFF"/>
          <w:lang w:bidi="ar-SA"/>
        </w:rPr>
        <w:t xml:space="preserve">Proceedings of the International Conference on Food Engineering and Biotechnology, </w:t>
      </w:r>
      <w:r w:rsidRPr="00810D8A">
        <w:rPr>
          <w:rFonts w:ascii="Times New Roman" w:eastAsia="MS Mincho" w:hAnsi="Times New Roman"/>
          <w:color w:val="000000"/>
          <w:sz w:val="20"/>
          <w:szCs w:val="20"/>
          <w:shd w:val="clear" w:color="auto" w:fill="FFFFFF"/>
          <w:lang w:bidi="ar-SA"/>
        </w:rPr>
        <w:t>9: pp. 60-68.</w:t>
      </w:r>
    </w:p>
    <w:p w14:paraId="6DDC6746"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Ayawei, N., Ekubo, A. T., Wankasi, D. and Dikio, E. D. (2015). Adsorption of congo red by Ni/Al-CO</w:t>
      </w:r>
      <w:r w:rsidRPr="00810D8A">
        <w:rPr>
          <w:rFonts w:ascii="Times New Roman" w:eastAsia="MS Mincho" w:hAnsi="Times New Roman"/>
          <w:noProof/>
          <w:color w:val="000000"/>
          <w:sz w:val="20"/>
          <w:szCs w:val="20"/>
          <w:vertAlign w:val="subscript"/>
          <w:lang w:bidi="ar-SA"/>
        </w:rPr>
        <w:t>3</w:t>
      </w:r>
      <w:r w:rsidRPr="00810D8A">
        <w:rPr>
          <w:rFonts w:ascii="Times New Roman" w:eastAsia="MS Mincho" w:hAnsi="Times New Roman"/>
          <w:noProof/>
          <w:color w:val="000000"/>
          <w:sz w:val="20"/>
          <w:szCs w:val="20"/>
          <w:lang w:bidi="ar-SA"/>
        </w:rPr>
        <w:t xml:space="preserve">: Equilibrium, thermodynamic and kinetic studies. </w:t>
      </w:r>
      <w:r w:rsidRPr="00810D8A">
        <w:rPr>
          <w:rFonts w:ascii="Times New Roman" w:eastAsia="MS Mincho" w:hAnsi="Times New Roman"/>
          <w:i/>
          <w:iCs/>
          <w:noProof/>
          <w:color w:val="000000"/>
          <w:sz w:val="20"/>
          <w:szCs w:val="20"/>
          <w:lang w:bidi="ar-SA"/>
        </w:rPr>
        <w:t>Oriental Journal of Chemistry,</w:t>
      </w:r>
      <w:r w:rsidRPr="00810D8A">
        <w:rPr>
          <w:rFonts w:ascii="Times New Roman" w:eastAsia="MS Mincho" w:hAnsi="Times New Roman"/>
          <w:noProof/>
          <w:color w:val="000000"/>
          <w:sz w:val="20"/>
          <w:szCs w:val="20"/>
          <w:lang w:bidi="ar-SA"/>
        </w:rPr>
        <w:t xml:space="preserve"> 31(3): 1307-1318. </w:t>
      </w:r>
    </w:p>
    <w:p w14:paraId="3B72CE8F"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Lasheen, M. R., Ammar, N. S. and Ibrahim, H. S. (2012). Adsorption/desorption of Cd(II), Cu(II), and Pb(II) using chemically modified orange peel: Equilibrium and kinetic studies. </w:t>
      </w:r>
      <w:r w:rsidRPr="00810D8A">
        <w:rPr>
          <w:rFonts w:ascii="Times New Roman" w:eastAsia="MS Mincho" w:hAnsi="Times New Roman"/>
          <w:i/>
          <w:iCs/>
          <w:noProof/>
          <w:color w:val="000000"/>
          <w:sz w:val="20"/>
          <w:szCs w:val="20"/>
          <w:lang w:bidi="ar-SA"/>
        </w:rPr>
        <w:t>Solid-State Sciences</w:t>
      </w:r>
      <w:r w:rsidRPr="00810D8A">
        <w:rPr>
          <w:rFonts w:ascii="Times New Roman" w:eastAsia="MS Mincho" w:hAnsi="Times New Roman"/>
          <w:noProof/>
          <w:color w:val="000000"/>
          <w:sz w:val="20"/>
          <w:szCs w:val="20"/>
          <w:lang w:bidi="ar-SA"/>
        </w:rPr>
        <w:t xml:space="preserve">, 14(2): 202-210. </w:t>
      </w:r>
    </w:p>
    <w:p w14:paraId="3E6B0D9B" w14:textId="77777777" w:rsidR="00736B20" w:rsidRPr="00810D8A"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0"/>
          <w:lang w:bidi="ar-SA"/>
        </w:rPr>
      </w:pPr>
      <w:r w:rsidRPr="00810D8A">
        <w:rPr>
          <w:rFonts w:ascii="Times New Roman" w:eastAsia="MS Mincho" w:hAnsi="Times New Roman"/>
          <w:noProof/>
          <w:color w:val="000000"/>
          <w:sz w:val="20"/>
          <w:szCs w:val="20"/>
          <w:lang w:bidi="ar-SA"/>
        </w:rPr>
        <w:t xml:space="preserve">Yalçın, S. (2014). The mechanism of heavy metal biosorption on green marine macroalga </w:t>
      </w:r>
      <w:r w:rsidRPr="00810D8A">
        <w:rPr>
          <w:rFonts w:ascii="Times New Roman" w:eastAsia="MS Mincho" w:hAnsi="Times New Roman"/>
          <w:i/>
          <w:iCs/>
          <w:noProof/>
          <w:color w:val="000000"/>
          <w:sz w:val="20"/>
          <w:szCs w:val="20"/>
          <w:lang w:bidi="ar-SA"/>
        </w:rPr>
        <w:t>Enteromorpha linza.</w:t>
      </w:r>
      <w:r w:rsidRPr="00810D8A">
        <w:rPr>
          <w:rFonts w:ascii="Times New Roman" w:eastAsia="MS Mincho" w:hAnsi="Times New Roman"/>
          <w:noProof/>
          <w:color w:val="000000"/>
          <w:sz w:val="20"/>
          <w:szCs w:val="20"/>
          <w:lang w:bidi="ar-SA"/>
        </w:rPr>
        <w:t xml:space="preserve"> </w:t>
      </w:r>
      <w:r w:rsidRPr="00810D8A">
        <w:rPr>
          <w:rFonts w:ascii="Times New Roman" w:eastAsia="MS Mincho" w:hAnsi="Times New Roman"/>
          <w:i/>
          <w:iCs/>
          <w:noProof/>
          <w:color w:val="000000"/>
          <w:sz w:val="20"/>
          <w:szCs w:val="20"/>
          <w:lang w:bidi="ar-SA"/>
        </w:rPr>
        <w:t>CLEAN–Soil, Air, Water</w:t>
      </w:r>
      <w:r w:rsidRPr="00810D8A">
        <w:rPr>
          <w:rFonts w:ascii="Times New Roman" w:eastAsia="MS Mincho" w:hAnsi="Times New Roman"/>
          <w:noProof/>
          <w:color w:val="000000"/>
          <w:sz w:val="20"/>
          <w:szCs w:val="20"/>
          <w:lang w:bidi="ar-SA"/>
        </w:rPr>
        <w:t>, 42(3): 251-259.</w:t>
      </w:r>
    </w:p>
    <w:p w14:paraId="2BF5BBFE" w14:textId="77777777" w:rsidR="00736B20" w:rsidRDefault="00736B20" w:rsidP="00810D8A">
      <w:pPr>
        <w:widowControl w:val="0"/>
        <w:numPr>
          <w:ilvl w:val="0"/>
          <w:numId w:val="3"/>
        </w:numPr>
        <w:autoSpaceDE w:val="0"/>
        <w:autoSpaceDN w:val="0"/>
        <w:adjustRightInd w:val="0"/>
        <w:spacing w:after="0"/>
        <w:ind w:left="360"/>
        <w:jc w:val="both"/>
        <w:rPr>
          <w:rFonts w:ascii="Times New Roman" w:eastAsia="MS Mincho" w:hAnsi="Times New Roman"/>
          <w:noProof/>
          <w:color w:val="000000"/>
          <w:sz w:val="20"/>
          <w:szCs w:val="24"/>
          <w:lang w:bidi="ar-SA"/>
        </w:rPr>
        <w:sectPr w:rsidR="00736B20" w:rsidSect="003023AC">
          <w:footerReference w:type="even" r:id="rId32"/>
          <w:footerReference w:type="default" r:id="rId33"/>
          <w:type w:val="oddPage"/>
          <w:pgSz w:w="12240" w:h="15840" w:code="1"/>
          <w:pgMar w:top="1800" w:right="1469" w:bottom="1699" w:left="1440" w:header="706" w:footer="706" w:gutter="0"/>
          <w:pgNumType w:start="1"/>
          <w:cols w:num="2" w:space="403"/>
          <w:docGrid w:linePitch="360"/>
        </w:sectPr>
      </w:pPr>
      <w:r w:rsidRPr="00810D8A">
        <w:rPr>
          <w:rFonts w:ascii="Times New Roman" w:eastAsia="MS Mincho" w:hAnsi="Times New Roman"/>
          <w:noProof/>
          <w:color w:val="000000"/>
          <w:sz w:val="20"/>
          <w:szCs w:val="20"/>
          <w:lang w:bidi="ar-SA"/>
        </w:rPr>
        <w:t xml:space="preserve">Weber, T. W. and Chakravorti, R. K. (1974). Pore and solid diffusion models for fixed‐bed adsorbers. </w:t>
      </w:r>
      <w:r w:rsidRPr="00810D8A">
        <w:rPr>
          <w:rFonts w:ascii="Times New Roman" w:eastAsia="MS Mincho" w:hAnsi="Times New Roman"/>
          <w:i/>
          <w:iCs/>
          <w:noProof/>
          <w:color w:val="000000"/>
          <w:sz w:val="20"/>
          <w:szCs w:val="20"/>
          <w:lang w:bidi="ar-SA"/>
        </w:rPr>
        <w:t>AIChE Journal</w:t>
      </w:r>
      <w:r w:rsidRPr="00810D8A">
        <w:rPr>
          <w:rFonts w:ascii="Times New Roman" w:eastAsia="MS Mincho" w:hAnsi="Times New Roman"/>
          <w:noProof/>
          <w:color w:val="000000"/>
          <w:sz w:val="20"/>
          <w:szCs w:val="20"/>
          <w:lang w:bidi="ar-SA"/>
        </w:rPr>
        <w:t>, 20(2): 228-238.</w:t>
      </w:r>
      <w:bookmarkEnd w:id="49"/>
    </w:p>
    <w:p w14:paraId="0D39BA18" w14:textId="77777777" w:rsidR="00736B20" w:rsidRDefault="00736B20" w:rsidP="00736B20">
      <w:pPr>
        <w:widowControl w:val="0"/>
        <w:autoSpaceDE w:val="0"/>
        <w:autoSpaceDN w:val="0"/>
        <w:adjustRightInd w:val="0"/>
        <w:spacing w:after="0"/>
        <w:contextualSpacing/>
        <w:jc w:val="both"/>
        <w:rPr>
          <w:rFonts w:ascii="Times New Roman" w:eastAsia="MS Mincho" w:hAnsi="Times New Roman"/>
          <w:noProof/>
          <w:color w:val="000000"/>
          <w:sz w:val="20"/>
          <w:szCs w:val="24"/>
          <w:lang w:bidi="ar-SA"/>
        </w:rPr>
        <w:sectPr w:rsidR="00736B20" w:rsidSect="00FC3B05">
          <w:type w:val="continuous"/>
          <w:pgSz w:w="12240" w:h="15840" w:code="1"/>
          <w:pgMar w:top="1800" w:right="1469" w:bottom="1699" w:left="1440" w:header="706" w:footer="706" w:gutter="0"/>
          <w:pgNumType w:start="1"/>
          <w:cols w:num="2" w:space="403"/>
          <w:docGrid w:linePitch="360"/>
        </w:sectPr>
      </w:pPr>
    </w:p>
    <w:p w14:paraId="00D2346B" w14:textId="1956604E" w:rsidR="00736B20" w:rsidRDefault="00736B20" w:rsidP="00736B20">
      <w:pPr>
        <w:widowControl w:val="0"/>
        <w:autoSpaceDE w:val="0"/>
        <w:autoSpaceDN w:val="0"/>
        <w:adjustRightInd w:val="0"/>
        <w:spacing w:after="0"/>
        <w:contextualSpacing/>
        <w:jc w:val="both"/>
        <w:rPr>
          <w:rFonts w:ascii="Times New Roman" w:eastAsia="MS Mincho" w:hAnsi="Times New Roman"/>
          <w:noProof/>
          <w:color w:val="000000"/>
          <w:sz w:val="20"/>
          <w:szCs w:val="24"/>
          <w:lang w:bidi="ar-SA"/>
        </w:rPr>
        <w:sectPr w:rsidR="00736B20" w:rsidSect="00FC3B05">
          <w:footerReference w:type="even" r:id="rId34"/>
          <w:footerReference w:type="default" r:id="rId35"/>
          <w:type w:val="continuous"/>
          <w:pgSz w:w="12240" w:h="15840" w:code="1"/>
          <w:pgMar w:top="1800" w:right="1469" w:bottom="1699" w:left="1440" w:header="706" w:footer="706" w:gutter="0"/>
          <w:pgNumType w:start="1"/>
          <w:cols w:num="2" w:space="403"/>
          <w:docGrid w:linePitch="360"/>
        </w:sectPr>
      </w:pPr>
    </w:p>
    <w:p w14:paraId="25D2FF99" w14:textId="59E57ADA" w:rsidR="00A74A7E" w:rsidRPr="00700387" w:rsidRDefault="00A74A7E" w:rsidP="00700387">
      <w:pPr>
        <w:widowControl w:val="0"/>
        <w:autoSpaceDE w:val="0"/>
        <w:autoSpaceDN w:val="0"/>
        <w:adjustRightInd w:val="0"/>
        <w:spacing w:after="0"/>
        <w:contextualSpacing/>
        <w:jc w:val="both"/>
        <w:rPr>
          <w:rFonts w:ascii="Times New Roman" w:eastAsia="MS Mincho" w:hAnsi="Times New Roman"/>
          <w:noProof/>
          <w:color w:val="000000"/>
          <w:sz w:val="20"/>
          <w:szCs w:val="24"/>
          <w:lang w:bidi="ar-SA"/>
        </w:rPr>
      </w:pPr>
    </w:p>
    <w:sectPr w:rsidR="00A74A7E" w:rsidRPr="00700387" w:rsidSect="00FC3B05">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Segoe Prin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373C0630" w:rsidR="00A14DB9" w:rsidRDefault="00877461">
    <w:pPr>
      <w:pStyle w:val="Footer"/>
    </w:pPr>
    <w:r>
      <w:rPr>
        <w:rFonts w:ascii="Times New Roman" w:hAnsi="Times New Roman"/>
        <w:lang w:val="en-US"/>
      </w:rPr>
      <w:t>533</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66BC5B7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7AD6" w14:textId="1DB83195" w:rsidR="00170E9D" w:rsidRPr="007D4BAB" w:rsidRDefault="00170E9D"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534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B96D2" w14:textId="777FDB64" w:rsidR="00170E9D" w:rsidRDefault="00877461">
    <w:pPr>
      <w:pStyle w:val="Footer"/>
    </w:pPr>
    <w:r>
      <w:rPr>
        <w:rFonts w:ascii="Times New Roman" w:hAnsi="Times New Roman"/>
        <w:lang w:val="en-US"/>
      </w:rPr>
      <w:t>535</w:t>
    </w:r>
    <w:r w:rsidR="00170E9D" w:rsidRPr="002F1D31">
      <w:rPr>
        <w:rFonts w:ascii="Times New Roman" w:hAnsi="Times New Roman"/>
        <w:lang w:val="en-US"/>
      </w:rPr>
      <w:ptab w:relativeTo="margin" w:alignment="center" w:leader="none"/>
    </w:r>
    <w:r w:rsidR="00170E9D"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A87C" w14:textId="366FCD0E" w:rsidR="00170E9D" w:rsidRPr="007D4BAB" w:rsidRDefault="00170E9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r w:rsidR="00877461">
      <w:rPr>
        <w:rFonts w:ascii="Times New Roman" w:hAnsi="Times New Roman"/>
        <w:lang w:val="en-US"/>
      </w:rPr>
      <w:t>36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91B8" w14:textId="3B718CAF" w:rsidR="001F55CF" w:rsidRDefault="00877461">
    <w:pPr>
      <w:pStyle w:val="Footer"/>
    </w:pPr>
    <w:r>
      <w:rPr>
        <w:rFonts w:ascii="Times New Roman" w:hAnsi="Times New Roman"/>
        <w:lang w:val="en-US"/>
      </w:rPr>
      <w:t>537</w:t>
    </w:r>
    <w:r w:rsidR="001F55CF" w:rsidRPr="002F1D31">
      <w:rPr>
        <w:rFonts w:ascii="Times New Roman" w:hAnsi="Times New Roman"/>
        <w:lang w:val="en-US"/>
      </w:rPr>
      <w:ptab w:relativeTo="margin" w:alignment="center" w:leader="none"/>
    </w:r>
    <w:r w:rsidR="001F55CF"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0EA8" w14:textId="4A862BBB" w:rsidR="001F55CF" w:rsidRPr="007D4BAB" w:rsidRDefault="001F55CF"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538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ECCA" w14:textId="3E6D05E0" w:rsidR="001F55CF" w:rsidRDefault="00877461">
    <w:pPr>
      <w:pStyle w:val="Footer"/>
    </w:pPr>
    <w:r>
      <w:rPr>
        <w:rFonts w:ascii="Times New Roman" w:hAnsi="Times New Roman"/>
        <w:lang w:val="en-US"/>
      </w:rPr>
      <w:t>539</w:t>
    </w:r>
    <w:r w:rsidR="001F55CF" w:rsidRPr="002F1D31">
      <w:rPr>
        <w:rFonts w:ascii="Times New Roman" w:hAnsi="Times New Roman"/>
        <w:lang w:val="en-US"/>
      </w:rPr>
      <w:ptab w:relativeTo="margin" w:alignment="center" w:leader="none"/>
    </w:r>
    <w:r w:rsidR="001F55CF"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2A5C" w14:textId="6621077E" w:rsidR="001F55CF" w:rsidRPr="007D4BAB" w:rsidRDefault="001F55CF"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540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D4F4" w14:textId="76B2C7E5" w:rsidR="001F55CF" w:rsidRDefault="00877461">
    <w:pPr>
      <w:pStyle w:val="Footer"/>
    </w:pPr>
    <w:r>
      <w:rPr>
        <w:rFonts w:ascii="Times New Roman" w:hAnsi="Times New Roman"/>
        <w:lang w:val="en-US"/>
      </w:rPr>
      <w:t>541</w:t>
    </w:r>
    <w:r w:rsidR="001F55CF" w:rsidRPr="002F1D31">
      <w:rPr>
        <w:rFonts w:ascii="Times New Roman" w:hAnsi="Times New Roman"/>
        <w:lang w:val="en-US"/>
      </w:rPr>
      <w:ptab w:relativeTo="margin" w:alignment="center" w:leader="none"/>
    </w:r>
    <w:r w:rsidR="001F55CF"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670DC" w14:textId="57D49511" w:rsidR="003023AC" w:rsidRDefault="00877461">
    <w:pPr>
      <w:pStyle w:val="Footer"/>
    </w:pPr>
    <w:r>
      <w:rPr>
        <w:rFonts w:ascii="Times New Roman" w:hAnsi="Times New Roman"/>
        <w:lang w:val="en-US"/>
      </w:rPr>
      <w:t>543</w:t>
    </w:r>
    <w:r w:rsidR="003023AC" w:rsidRPr="002F1D31">
      <w:rPr>
        <w:rFonts w:ascii="Times New Roman" w:hAnsi="Times New Roman"/>
        <w:lang w:val="en-US"/>
      </w:rPr>
      <w:ptab w:relativeTo="margin" w:alignment="center" w:leader="none"/>
    </w:r>
    <w:r w:rsidR="003023AC"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55DE" w14:textId="24758E28" w:rsidR="003023AC" w:rsidRPr="007D4BAB" w:rsidRDefault="003023AC"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542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84483" w14:textId="15237707" w:rsidR="003023AC" w:rsidRDefault="00877461">
    <w:pPr>
      <w:pStyle w:val="Footer"/>
    </w:pPr>
    <w:r>
      <w:rPr>
        <w:rFonts w:ascii="Times New Roman" w:hAnsi="Times New Roman"/>
        <w:lang w:val="en-US"/>
      </w:rPr>
      <w:t>545</w:t>
    </w:r>
    <w:r w:rsidR="003023AC" w:rsidRPr="002F1D31">
      <w:rPr>
        <w:rFonts w:ascii="Times New Roman" w:hAnsi="Times New Roman"/>
        <w:lang w:val="en-US"/>
      </w:rPr>
      <w:ptab w:relativeTo="margin" w:alignment="center" w:leader="none"/>
    </w:r>
    <w:r w:rsidR="003023AC"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C563" w14:textId="3B3F469B" w:rsidR="003023AC" w:rsidRPr="007D4BAB" w:rsidRDefault="003023AC" w:rsidP="007D4BAB">
    <w:pPr>
      <w:pStyle w:val="Footer"/>
      <w:jc w:val="right"/>
    </w:pPr>
    <w:r w:rsidRPr="002F1D31">
      <w:rPr>
        <w:lang w:val="en-US"/>
      </w:rPr>
      <w:ptab w:relativeTo="margin" w:alignment="center" w:leader="none"/>
    </w:r>
    <w:r w:rsidRPr="002F1D31">
      <w:rPr>
        <w:lang w:val="en-US"/>
      </w:rPr>
      <w:ptab w:relativeTo="margin" w:alignment="right" w:leader="none"/>
    </w:r>
    <w:r w:rsidR="00877461">
      <w:rPr>
        <w:rFonts w:ascii="Times New Roman" w:hAnsi="Times New Roman"/>
        <w:lang w:val="en-US"/>
      </w:rPr>
      <w:t>544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AC88" w14:textId="2FA07D5C" w:rsidR="001F55CF" w:rsidRDefault="001F55CF">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134B" w14:textId="2CD6C90F" w:rsidR="001F55CF" w:rsidRPr="007D4BAB" w:rsidRDefault="001F55CF"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717CD237" w:rsidR="002B3BD8" w:rsidRPr="006B72B0" w:rsidRDefault="00B238A8" w:rsidP="00F87302">
    <w:pPr>
      <w:pStyle w:val="Header"/>
      <w:tabs>
        <w:tab w:val="clear" w:pos="4680"/>
        <w:tab w:val="center" w:pos="1170"/>
      </w:tabs>
      <w:ind w:left="1170" w:hanging="1170"/>
      <w:rPr>
        <w:rFonts w:ascii="Times New Roman" w:hAnsi="Times New Roman"/>
        <w:lang w:val="en-US"/>
      </w:rPr>
    </w:pPr>
    <w:r>
      <w:rPr>
        <w:rFonts w:ascii="Times New Roman" w:hAnsi="Times New Roman"/>
        <w:lang w:val="en-US"/>
      </w:rPr>
      <w:t>Hamad et al</w:t>
    </w:r>
    <w:r w:rsidR="006B72B0" w:rsidRPr="006B72B0">
      <w:rPr>
        <w:rFonts w:ascii="Times New Roman" w:hAnsi="Times New Roman"/>
        <w:lang w:val="en-US"/>
      </w:rPr>
      <w:t xml:space="preserve">: </w:t>
    </w:r>
    <w:r w:rsidR="009B0F4A">
      <w:rPr>
        <w:rFonts w:ascii="Times New Roman" w:hAnsi="Times New Roman"/>
        <w:lang w:val="en-US"/>
      </w:rPr>
      <w:t xml:space="preserve"> </w:t>
    </w:r>
    <w:r w:rsidR="00F87302">
      <w:rPr>
        <w:rFonts w:ascii="Times New Roman" w:hAnsi="Times New Roman"/>
        <w:lang w:val="en-US"/>
      </w:rPr>
      <w:tab/>
    </w:r>
    <w:r w:rsidRPr="00B238A8">
      <w:rPr>
        <w:rFonts w:ascii="Times New Roman" w:hAnsi="Times New Roman"/>
        <w:lang w:val="en-US"/>
      </w:rPr>
      <w:t xml:space="preserve">BIOSORPTION CAPACITY OF HEAVY METAL LEAD (Pb(II)) USING DRY SEAWEED </w:t>
    </w:r>
    <w:r w:rsidRPr="00B238A8">
      <w:rPr>
        <w:rFonts w:ascii="Times New Roman" w:hAnsi="Times New Roman"/>
        <w:i/>
        <w:iCs/>
        <w:lang w:val="en-US"/>
      </w:rPr>
      <w:t>Eucheuma denticulatum</w:t>
    </w: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4E6E8D58"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912F0">
      <w:rPr>
        <w:rFonts w:ascii="Times New Roman" w:hAnsi="Times New Roman"/>
        <w:i/>
        <w:lang w:val="en-US"/>
      </w:rPr>
      <w:t>6</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1921CF">
      <w:rPr>
        <w:rFonts w:ascii="Times New Roman" w:hAnsi="Times New Roman"/>
        <w:i/>
        <w:lang w:val="en-MY"/>
      </w:rPr>
      <w:t>2</w:t>
    </w:r>
    <w:r w:rsidRPr="00D75B35">
      <w:rPr>
        <w:rFonts w:ascii="Times New Roman" w:hAnsi="Times New Roman"/>
        <w:i/>
      </w:rPr>
      <w:t xml:space="preserve">): </w:t>
    </w:r>
    <w:r w:rsidR="00877461">
      <w:rPr>
        <w:rFonts w:ascii="Times New Roman" w:hAnsi="Times New Roman"/>
        <w:i/>
        <w:lang w:val="en-US"/>
      </w:rPr>
      <w:t>532</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877461">
      <w:rPr>
        <w:rFonts w:ascii="Times New Roman" w:hAnsi="Times New Roman"/>
        <w:i/>
        <w:lang w:val="en-US"/>
      </w:rPr>
      <w:t>545</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53287"/>
    <w:multiLevelType w:val="hybridMultilevel"/>
    <w:tmpl w:val="DCD8F4A0"/>
    <w:lvl w:ilvl="0" w:tplc="2B46A248">
      <w:start w:val="1"/>
      <w:numFmt w:val="decimal"/>
      <w:lvlText w:val="%1."/>
      <w:lvlJc w:val="left"/>
      <w:pPr>
        <w:ind w:left="63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12541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812398">
    <w:abstractNumId w:val="2"/>
  </w:num>
  <w:num w:numId="3" w16cid:durableId="44951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50C6"/>
    <w:rsid w:val="00041111"/>
    <w:rsid w:val="000522FC"/>
    <w:rsid w:val="00074E00"/>
    <w:rsid w:val="00084936"/>
    <w:rsid w:val="000A01FC"/>
    <w:rsid w:val="000A2EB3"/>
    <w:rsid w:val="000C49FF"/>
    <w:rsid w:val="000D0AC0"/>
    <w:rsid w:val="000D16A1"/>
    <w:rsid w:val="000D2B0C"/>
    <w:rsid w:val="000F72D2"/>
    <w:rsid w:val="000F77DA"/>
    <w:rsid w:val="001068E8"/>
    <w:rsid w:val="001106D8"/>
    <w:rsid w:val="00117BCD"/>
    <w:rsid w:val="0012339D"/>
    <w:rsid w:val="0015129B"/>
    <w:rsid w:val="00152CEC"/>
    <w:rsid w:val="00154C16"/>
    <w:rsid w:val="00170E9D"/>
    <w:rsid w:val="001921CF"/>
    <w:rsid w:val="001A3275"/>
    <w:rsid w:val="001D035A"/>
    <w:rsid w:val="001D21AD"/>
    <w:rsid w:val="001D3855"/>
    <w:rsid w:val="001D6F2C"/>
    <w:rsid w:val="001D7C35"/>
    <w:rsid w:val="001F55CF"/>
    <w:rsid w:val="00233177"/>
    <w:rsid w:val="00252451"/>
    <w:rsid w:val="002627A2"/>
    <w:rsid w:val="002764D3"/>
    <w:rsid w:val="00277498"/>
    <w:rsid w:val="002860B7"/>
    <w:rsid w:val="0028686E"/>
    <w:rsid w:val="00290F4D"/>
    <w:rsid w:val="00292F86"/>
    <w:rsid w:val="002A2FC0"/>
    <w:rsid w:val="002B188F"/>
    <w:rsid w:val="002B3BD8"/>
    <w:rsid w:val="002B412F"/>
    <w:rsid w:val="002C60A1"/>
    <w:rsid w:val="002F1D31"/>
    <w:rsid w:val="002F3F91"/>
    <w:rsid w:val="002F55F5"/>
    <w:rsid w:val="0030175F"/>
    <w:rsid w:val="003023AC"/>
    <w:rsid w:val="00304767"/>
    <w:rsid w:val="00304B34"/>
    <w:rsid w:val="00307602"/>
    <w:rsid w:val="00312A6F"/>
    <w:rsid w:val="00315D27"/>
    <w:rsid w:val="00336E8C"/>
    <w:rsid w:val="003457FF"/>
    <w:rsid w:val="00352D57"/>
    <w:rsid w:val="003609F3"/>
    <w:rsid w:val="00361BAF"/>
    <w:rsid w:val="00362FCE"/>
    <w:rsid w:val="00367D1F"/>
    <w:rsid w:val="003B4ACB"/>
    <w:rsid w:val="003B4FC1"/>
    <w:rsid w:val="003B6019"/>
    <w:rsid w:val="003D3DCB"/>
    <w:rsid w:val="003D585B"/>
    <w:rsid w:val="003E7DA6"/>
    <w:rsid w:val="003F12FF"/>
    <w:rsid w:val="00453480"/>
    <w:rsid w:val="004760D4"/>
    <w:rsid w:val="00482180"/>
    <w:rsid w:val="00494C46"/>
    <w:rsid w:val="004B43FF"/>
    <w:rsid w:val="004C070C"/>
    <w:rsid w:val="004C7089"/>
    <w:rsid w:val="004D7E25"/>
    <w:rsid w:val="004F265B"/>
    <w:rsid w:val="00502641"/>
    <w:rsid w:val="0054578F"/>
    <w:rsid w:val="005547BF"/>
    <w:rsid w:val="0056630A"/>
    <w:rsid w:val="005912F0"/>
    <w:rsid w:val="005A3A67"/>
    <w:rsid w:val="005C6768"/>
    <w:rsid w:val="005E4871"/>
    <w:rsid w:val="00601C8A"/>
    <w:rsid w:val="00606C54"/>
    <w:rsid w:val="00617AA2"/>
    <w:rsid w:val="006257E5"/>
    <w:rsid w:val="0063224D"/>
    <w:rsid w:val="00634C25"/>
    <w:rsid w:val="0063542E"/>
    <w:rsid w:val="00637469"/>
    <w:rsid w:val="006416AB"/>
    <w:rsid w:val="0065373D"/>
    <w:rsid w:val="006572F6"/>
    <w:rsid w:val="00660445"/>
    <w:rsid w:val="00664F73"/>
    <w:rsid w:val="00666974"/>
    <w:rsid w:val="00671099"/>
    <w:rsid w:val="006768E9"/>
    <w:rsid w:val="00687982"/>
    <w:rsid w:val="006A1F67"/>
    <w:rsid w:val="006B3EC8"/>
    <w:rsid w:val="006B72B0"/>
    <w:rsid w:val="006D286E"/>
    <w:rsid w:val="006D695E"/>
    <w:rsid w:val="006E2539"/>
    <w:rsid w:val="00700387"/>
    <w:rsid w:val="00725A6A"/>
    <w:rsid w:val="00736B20"/>
    <w:rsid w:val="00765E30"/>
    <w:rsid w:val="007706A6"/>
    <w:rsid w:val="007755A7"/>
    <w:rsid w:val="007943F3"/>
    <w:rsid w:val="007A0583"/>
    <w:rsid w:val="007A738C"/>
    <w:rsid w:val="007B1349"/>
    <w:rsid w:val="007C3C10"/>
    <w:rsid w:val="007D45AC"/>
    <w:rsid w:val="007D4BAB"/>
    <w:rsid w:val="007D517A"/>
    <w:rsid w:val="007E25BD"/>
    <w:rsid w:val="00802C35"/>
    <w:rsid w:val="00810D8A"/>
    <w:rsid w:val="0082181A"/>
    <w:rsid w:val="0082457A"/>
    <w:rsid w:val="00825624"/>
    <w:rsid w:val="0083587A"/>
    <w:rsid w:val="008626C0"/>
    <w:rsid w:val="00877461"/>
    <w:rsid w:val="00883CC3"/>
    <w:rsid w:val="008B470E"/>
    <w:rsid w:val="008B5904"/>
    <w:rsid w:val="008D1880"/>
    <w:rsid w:val="008D29BF"/>
    <w:rsid w:val="008E1211"/>
    <w:rsid w:val="008E5BBF"/>
    <w:rsid w:val="008E6968"/>
    <w:rsid w:val="008F45FE"/>
    <w:rsid w:val="0091237C"/>
    <w:rsid w:val="009211AF"/>
    <w:rsid w:val="00921742"/>
    <w:rsid w:val="00923861"/>
    <w:rsid w:val="009357B8"/>
    <w:rsid w:val="009866F6"/>
    <w:rsid w:val="009B0F4A"/>
    <w:rsid w:val="009B3139"/>
    <w:rsid w:val="009D030D"/>
    <w:rsid w:val="009D47A9"/>
    <w:rsid w:val="00A049C6"/>
    <w:rsid w:val="00A14DB9"/>
    <w:rsid w:val="00A3773C"/>
    <w:rsid w:val="00A4762A"/>
    <w:rsid w:val="00A50EDD"/>
    <w:rsid w:val="00A64690"/>
    <w:rsid w:val="00A70344"/>
    <w:rsid w:val="00A74A7E"/>
    <w:rsid w:val="00A80CA5"/>
    <w:rsid w:val="00A85E24"/>
    <w:rsid w:val="00AA43F9"/>
    <w:rsid w:val="00AB2D52"/>
    <w:rsid w:val="00AD1B8A"/>
    <w:rsid w:val="00AD4216"/>
    <w:rsid w:val="00AE713F"/>
    <w:rsid w:val="00AF2305"/>
    <w:rsid w:val="00AF2821"/>
    <w:rsid w:val="00AF2A11"/>
    <w:rsid w:val="00AF4494"/>
    <w:rsid w:val="00B1121C"/>
    <w:rsid w:val="00B238A8"/>
    <w:rsid w:val="00B25B65"/>
    <w:rsid w:val="00B2770A"/>
    <w:rsid w:val="00B314AD"/>
    <w:rsid w:val="00B50822"/>
    <w:rsid w:val="00B51963"/>
    <w:rsid w:val="00B57BD3"/>
    <w:rsid w:val="00B75BF6"/>
    <w:rsid w:val="00B7735A"/>
    <w:rsid w:val="00B82A12"/>
    <w:rsid w:val="00B91DE7"/>
    <w:rsid w:val="00BA1F7B"/>
    <w:rsid w:val="00BB58AF"/>
    <w:rsid w:val="00BD1C5D"/>
    <w:rsid w:val="00BE6617"/>
    <w:rsid w:val="00BE7C30"/>
    <w:rsid w:val="00BF1444"/>
    <w:rsid w:val="00C055BF"/>
    <w:rsid w:val="00C056F9"/>
    <w:rsid w:val="00C2226A"/>
    <w:rsid w:val="00C23746"/>
    <w:rsid w:val="00C606EC"/>
    <w:rsid w:val="00C74D67"/>
    <w:rsid w:val="00C94D92"/>
    <w:rsid w:val="00C97340"/>
    <w:rsid w:val="00C97688"/>
    <w:rsid w:val="00CA513F"/>
    <w:rsid w:val="00CB3AA6"/>
    <w:rsid w:val="00CE203C"/>
    <w:rsid w:val="00CE2BC6"/>
    <w:rsid w:val="00CF05FF"/>
    <w:rsid w:val="00D10C6A"/>
    <w:rsid w:val="00D10DED"/>
    <w:rsid w:val="00D206FC"/>
    <w:rsid w:val="00D20A85"/>
    <w:rsid w:val="00D257FB"/>
    <w:rsid w:val="00D340BB"/>
    <w:rsid w:val="00D34708"/>
    <w:rsid w:val="00D452B7"/>
    <w:rsid w:val="00D505D5"/>
    <w:rsid w:val="00D57550"/>
    <w:rsid w:val="00D613A2"/>
    <w:rsid w:val="00D6781A"/>
    <w:rsid w:val="00D75B35"/>
    <w:rsid w:val="00D76E09"/>
    <w:rsid w:val="00D86DD7"/>
    <w:rsid w:val="00D9736F"/>
    <w:rsid w:val="00D9792A"/>
    <w:rsid w:val="00DD0CD5"/>
    <w:rsid w:val="00DD377F"/>
    <w:rsid w:val="00DD7C38"/>
    <w:rsid w:val="00DF1E96"/>
    <w:rsid w:val="00E25547"/>
    <w:rsid w:val="00E3287E"/>
    <w:rsid w:val="00E54D12"/>
    <w:rsid w:val="00E66197"/>
    <w:rsid w:val="00E80AC4"/>
    <w:rsid w:val="00E97102"/>
    <w:rsid w:val="00EB4D16"/>
    <w:rsid w:val="00F121A0"/>
    <w:rsid w:val="00F31093"/>
    <w:rsid w:val="00F318AC"/>
    <w:rsid w:val="00F33AB1"/>
    <w:rsid w:val="00F358A5"/>
    <w:rsid w:val="00F412AF"/>
    <w:rsid w:val="00F43667"/>
    <w:rsid w:val="00F447A7"/>
    <w:rsid w:val="00F45564"/>
    <w:rsid w:val="00F4760B"/>
    <w:rsid w:val="00F7298E"/>
    <w:rsid w:val="00F82059"/>
    <w:rsid w:val="00F87302"/>
    <w:rsid w:val="00FB07B8"/>
    <w:rsid w:val="00FB4C59"/>
    <w:rsid w:val="00FB570D"/>
    <w:rsid w:val="00FB6521"/>
    <w:rsid w:val="00FC3B05"/>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qFormat/>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GridTable1Light-Accent11">
    <w:name w:val="Grid Table 1 Light - Accent 11"/>
    <w:basedOn w:val="TableNormal"/>
    <w:uiPriority w:val="46"/>
    <w:rsid w:val="008626C0"/>
    <w:rPr>
      <w:rFonts w:ascii="Calibri" w:eastAsia="MS Mincho" w:hAnsi="Calibri" w:cs="Arial"/>
      <w:lang w:val="en-US" w:eastAsia="en-US"/>
    </w:rPr>
    <w:tblP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21">
    <w:name w:val="Plain Table 21"/>
    <w:basedOn w:val="TableNormal"/>
    <w:uiPriority w:val="99"/>
    <w:rsid w:val="00FC3B05"/>
    <w:rPr>
      <w:rFonts w:ascii="Calibri" w:eastAsia="MS Mincho" w:hAnsi="Calibri" w:cs="Arial"/>
      <w:lang w:val="en-US" w:eastAsia="en-US"/>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sid w:val="003457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6.xml"/><Relationship Id="rId26" Type="http://schemas.openxmlformats.org/officeDocument/2006/relationships/footer" Target="footer9.xml"/><Relationship Id="rId21" Type="http://schemas.openxmlformats.org/officeDocument/2006/relationships/footer" Target="footer7.xml"/><Relationship Id="rId34"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chart" Target="charts/chart5.xml"/><Relationship Id="rId33"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2.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footer" Target="foot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chart" Target="charts/chart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1.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chart" Target="charts/chart3.xml"/><Relationship Id="rId27" Type="http://schemas.openxmlformats.org/officeDocument/2006/relationships/chart" Target="charts/chart6.xml"/><Relationship Id="rId30" Type="http://schemas.openxmlformats.org/officeDocument/2006/relationships/footer" Target="footer11.xml"/><Relationship Id="rId35" Type="http://schemas.openxmlformats.org/officeDocument/2006/relationships/footer" Target="footer16.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oleObject" Target="file:///D:\Biosopton%20kinetics.xlsx" TargetMode="External"/><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oleObject" Target="file:///D:\Biosopton%20kinetic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07743632974601"/>
          <c:y val="4.1655424471258501E-2"/>
          <c:w val="0.75836636593546503"/>
          <c:h val="0.72943645696165105"/>
        </c:manualLayout>
      </c:layout>
      <c:scatterChart>
        <c:scatterStyle val="lineMarker"/>
        <c:varyColors val="0"/>
        <c:ser>
          <c:idx val="0"/>
          <c:order val="0"/>
          <c:spPr>
            <a:ln w="9525" cap="rnd" cmpd="sng" algn="ctr">
              <a:solidFill>
                <a:schemeClr val="tx1"/>
              </a:solidFill>
              <a:prstDash val="solid"/>
              <a:round/>
            </a:ln>
            <a:effectLst>
              <a:outerShdw blurRad="40000" dist="23000" dir="5400000" rotWithShape="0">
                <a:srgbClr val="000000">
                  <a:alpha val="35000"/>
                </a:srgbClr>
              </a:outerShdw>
            </a:effectLst>
          </c:spPr>
          <c:marker>
            <c:symbol val="circle"/>
            <c:size val="5"/>
            <c:spPr>
              <a:solidFill>
                <a:sysClr val="windowText" lastClr="000000"/>
              </a:solidFill>
              <a:ln w="9525" cap="rnd" cmpd="sng" algn="ctr">
                <a:solidFill>
                  <a:schemeClr val="tx1"/>
                </a:solidFill>
                <a:prstDash val="solid"/>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Sheet1!$B$9:$B$15</c:f>
              <c:numCache>
                <c:formatCode>General</c:formatCode>
                <c:ptCount val="7"/>
                <c:pt idx="0">
                  <c:v>2</c:v>
                </c:pt>
                <c:pt idx="1">
                  <c:v>3</c:v>
                </c:pt>
                <c:pt idx="2">
                  <c:v>4</c:v>
                </c:pt>
                <c:pt idx="3">
                  <c:v>5</c:v>
                </c:pt>
                <c:pt idx="4">
                  <c:v>6</c:v>
                </c:pt>
                <c:pt idx="5">
                  <c:v>7</c:v>
                </c:pt>
                <c:pt idx="6">
                  <c:v>8</c:v>
                </c:pt>
              </c:numCache>
            </c:numRef>
          </c:xVal>
          <c:yVal>
            <c:numRef>
              <c:f>Sheet1!$C$9:$C$15</c:f>
              <c:numCache>
                <c:formatCode>General</c:formatCode>
                <c:ptCount val="7"/>
                <c:pt idx="0">
                  <c:v>4.16</c:v>
                </c:pt>
                <c:pt idx="1">
                  <c:v>4.5720000000000001</c:v>
                </c:pt>
                <c:pt idx="2">
                  <c:v>4.718</c:v>
                </c:pt>
                <c:pt idx="3">
                  <c:v>4.4420000000000002</c:v>
                </c:pt>
                <c:pt idx="4">
                  <c:v>4.4340000000000002</c:v>
                </c:pt>
                <c:pt idx="5">
                  <c:v>4.1689999999999801</c:v>
                </c:pt>
                <c:pt idx="6">
                  <c:v>4.1059000000000001</c:v>
                </c:pt>
              </c:numCache>
            </c:numRef>
          </c:yVal>
          <c:smooth val="0"/>
          <c:extLst>
            <c:ext xmlns:c16="http://schemas.microsoft.com/office/drawing/2014/chart" uri="{C3380CC4-5D6E-409C-BE32-E72D297353CC}">
              <c16:uniqueId val="{00000000-17CF-4F06-989E-507FF73B638B}"/>
            </c:ext>
          </c:extLst>
        </c:ser>
        <c:dLbls>
          <c:showLegendKey val="0"/>
          <c:showVal val="0"/>
          <c:showCatName val="0"/>
          <c:showSerName val="0"/>
          <c:showPercent val="0"/>
          <c:showBubbleSize val="0"/>
        </c:dLbls>
        <c:axId val="2102948936"/>
        <c:axId val="2102962424"/>
      </c:scatterChart>
      <c:valAx>
        <c:axId val="2102948936"/>
        <c:scaling>
          <c:orientation val="minMax"/>
        </c:scaling>
        <c:delete val="0"/>
        <c:axPos val="b"/>
        <c:title>
          <c:tx>
            <c:rich>
              <a:bodyPr rot="0" spcFirstLastPara="0" vertOverflow="ellipsis" vert="horz" wrap="square" anchor="ctr" anchorCtr="1"/>
              <a:lstStyle/>
              <a:p>
                <a:pPr>
                  <a:defRPr lang="en-US"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pH</a:t>
                </a:r>
              </a:p>
            </c:rich>
          </c:tx>
          <c:layout>
            <c:manualLayout>
              <c:xMode val="edge"/>
              <c:yMode val="edge"/>
              <c:x val="0.52329022653489499"/>
              <c:y val="0.90565055134196104"/>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0" vertOverflow="ellipsis" vert="horz" wrap="square" anchor="ctr" anchorCtr="1"/>
          <a:lstStyle/>
          <a:p>
            <a:pPr>
              <a:defRPr lang="en-US"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02962424"/>
        <c:crosses val="autoZero"/>
        <c:crossBetween val="midCat"/>
        <c:majorUnit val="1"/>
      </c:valAx>
      <c:valAx>
        <c:axId val="2102962424"/>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Pb(II) uptake, q, mg/g</a:t>
                </a:r>
              </a:p>
            </c:rich>
          </c:tx>
          <c:layout>
            <c:manualLayout>
              <c:xMode val="edge"/>
              <c:yMode val="edge"/>
              <c:x val="1.94444165816853E-2"/>
              <c:y val="0.18526797053594199"/>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02948936"/>
        <c:crosses val="autoZero"/>
        <c:crossBetween val="midCat"/>
      </c:valAx>
      <c:spPr>
        <a:noFill/>
        <a:ln>
          <a:noFill/>
        </a:ln>
        <a:effectLst/>
      </c:spPr>
    </c:plotArea>
    <c:plotVisOnly val="1"/>
    <c:dispBlanksAs val="gap"/>
    <c:showDLblsOverMax val="0"/>
  </c:chart>
  <c:spPr>
    <a:solidFill>
      <a:schemeClr val="bg1"/>
    </a:solidFill>
    <a:ln w="3175" cap="flat" cmpd="sng" algn="ctr">
      <a:solidFill>
        <a:schemeClr val="tx1"/>
      </a:solidFill>
      <a:prstDash val="solid"/>
      <a:round/>
    </a:ln>
    <a:effectLst/>
  </c:spPr>
  <c:txPr>
    <a:bodyPr/>
    <a:lstStyle/>
    <a:p>
      <a:pPr>
        <a:defRPr lang="en-US" b="1"/>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057450101209"/>
          <c:y val="7.9124835736864796E-2"/>
          <c:w val="0.71331263289440605"/>
          <c:h val="0.70633471394110403"/>
        </c:manualLayout>
      </c:layout>
      <c:scatterChart>
        <c:scatterStyle val="smoothMarker"/>
        <c:varyColors val="0"/>
        <c:ser>
          <c:idx val="1"/>
          <c:order val="0"/>
          <c:tx>
            <c:strRef>
              <c:f>Sheet1!$C$25</c:f>
              <c:strCache>
                <c:ptCount val="1"/>
                <c:pt idx="0">
                  <c:v>2nd run</c:v>
                </c:pt>
              </c:strCache>
            </c:strRef>
          </c:tx>
          <c:spPr>
            <a:ln w="9525" cap="rnd" cmpd="sng" algn="ctr">
              <a:solidFill>
                <a:schemeClr val="tx1"/>
              </a:solidFill>
              <a:prstDash val="solid"/>
              <a:round/>
            </a:ln>
            <a:effectLst>
              <a:outerShdw blurRad="40000" dist="23000" dir="5400000" rotWithShape="0">
                <a:srgbClr val="000000">
                  <a:alpha val="35000"/>
                </a:srgbClr>
              </a:outerShdw>
            </a:effectLst>
          </c:spPr>
          <c:marker>
            <c:symbol val="circle"/>
            <c:size val="5"/>
            <c:spPr>
              <a:gradFill rotWithShape="1">
                <a:gsLst>
                  <a:gs pos="2000">
                    <a:schemeClr val="tx1"/>
                  </a:gs>
                  <a:gs pos="99687">
                    <a:schemeClr val="tx1"/>
                  </a:gs>
                  <a:gs pos="99375">
                    <a:srgbClr val="CE3C38"/>
                  </a:gs>
                  <a:gs pos="98750">
                    <a:srgbClr val="CE3C38"/>
                  </a:gs>
                  <a:gs pos="97500">
                    <a:srgbClr val="CE3C38"/>
                  </a:gs>
                  <a:gs pos="95000">
                    <a:srgbClr val="CE3C38"/>
                  </a:gs>
                  <a:gs pos="90000">
                    <a:srgbClr val="CD3C39"/>
                  </a:gs>
                  <a:gs pos="80000">
                    <a:schemeClr val="accent2">
                      <a:shade val="93000"/>
                      <a:satMod val="130000"/>
                    </a:schemeClr>
                  </a:gs>
                  <a:gs pos="100000">
                    <a:schemeClr val="accent2">
                      <a:shade val="94000"/>
                      <a:satMod val="135000"/>
                    </a:schemeClr>
                  </a:gs>
                </a:gsLst>
                <a:lin ang="0" scaled="0"/>
              </a:gradFill>
              <a:ln w="9525" cap="rnd" cmpd="sng" algn="ctr">
                <a:solidFill>
                  <a:schemeClr val="tx1"/>
                </a:solidFill>
                <a:prstDash val="solid"/>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Sheet1!$A$26:$A$32</c:f>
              <c:numCache>
                <c:formatCode>General</c:formatCode>
                <c:ptCount val="7"/>
                <c:pt idx="0">
                  <c:v>0</c:v>
                </c:pt>
                <c:pt idx="1">
                  <c:v>5</c:v>
                </c:pt>
                <c:pt idx="2">
                  <c:v>10</c:v>
                </c:pt>
                <c:pt idx="3">
                  <c:v>30</c:v>
                </c:pt>
                <c:pt idx="4">
                  <c:v>60</c:v>
                </c:pt>
                <c:pt idx="5">
                  <c:v>120</c:v>
                </c:pt>
                <c:pt idx="6">
                  <c:v>180</c:v>
                </c:pt>
              </c:numCache>
            </c:numRef>
          </c:xVal>
          <c:yVal>
            <c:numRef>
              <c:f>Sheet1!$C$26:$C$32</c:f>
              <c:numCache>
                <c:formatCode>General</c:formatCode>
                <c:ptCount val="7"/>
                <c:pt idx="0">
                  <c:v>0</c:v>
                </c:pt>
                <c:pt idx="1">
                  <c:v>1.4319999999999899</c:v>
                </c:pt>
                <c:pt idx="2">
                  <c:v>2.2759999999999998</c:v>
                </c:pt>
                <c:pt idx="3">
                  <c:v>3.1739999999999999</c:v>
                </c:pt>
                <c:pt idx="4">
                  <c:v>3.45</c:v>
                </c:pt>
                <c:pt idx="5">
                  <c:v>3.847</c:v>
                </c:pt>
                <c:pt idx="6">
                  <c:v>4.0439999999999996</c:v>
                </c:pt>
              </c:numCache>
            </c:numRef>
          </c:yVal>
          <c:smooth val="1"/>
          <c:extLst>
            <c:ext xmlns:c16="http://schemas.microsoft.com/office/drawing/2014/chart" uri="{C3380CC4-5D6E-409C-BE32-E72D297353CC}">
              <c16:uniqueId val="{00000000-154F-44FD-A7E5-930990D6AB6B}"/>
            </c:ext>
          </c:extLst>
        </c:ser>
        <c:dLbls>
          <c:showLegendKey val="0"/>
          <c:showVal val="0"/>
          <c:showCatName val="0"/>
          <c:showSerName val="0"/>
          <c:showPercent val="0"/>
          <c:showBubbleSize val="0"/>
        </c:dLbls>
        <c:axId val="2103279960"/>
        <c:axId val="2021582872"/>
      </c:scatterChart>
      <c:valAx>
        <c:axId val="2103279960"/>
        <c:scaling>
          <c:orientation val="minMax"/>
          <c:max val="180"/>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900">
                    <a:latin typeface="Times New Roman" panose="02020603050405020304" charset="0"/>
                    <a:cs typeface="Times New Roman" panose="02020603050405020304" charset="0"/>
                  </a:rPr>
                  <a:t>Contact time, t (min)</a:t>
                </a:r>
              </a:p>
            </c:rich>
          </c:tx>
          <c:layout>
            <c:manualLayout>
              <c:xMode val="edge"/>
              <c:yMode val="edge"/>
              <c:x val="0.34431875082449498"/>
              <c:y val="0.89474515423542522"/>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0" vertOverflow="ellipsis" vert="horz" wrap="square" anchor="ctr" anchorCtr="1"/>
          <a:lstStyle/>
          <a:p>
            <a:pPr>
              <a:defRPr lang="en-US"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21582872"/>
        <c:crosses val="autoZero"/>
        <c:crossBetween val="midCat"/>
        <c:majorUnit val="20"/>
      </c:valAx>
      <c:valAx>
        <c:axId val="2021582872"/>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r>
                  <a:rPr lang="en-US" sz="900" b="1">
                    <a:latin typeface="Times New Roman" panose="02020603050405020304" charset="0"/>
                    <a:cs typeface="Times New Roman" panose="02020603050405020304" charset="0"/>
                  </a:rPr>
                  <a:t>Pb(II) uptake, q (mg/g)</a:t>
                </a:r>
              </a:p>
            </c:rich>
          </c:tx>
          <c:layout>
            <c:manualLayout>
              <c:xMode val="edge"/>
              <c:yMode val="edge"/>
              <c:x val="2.5097679964519799E-2"/>
              <c:y val="0.206280895739096"/>
            </c:manualLayout>
          </c:layout>
          <c:overlay val="0"/>
          <c:spPr>
            <a:noFill/>
            <a:ln>
              <a:noFill/>
            </a:ln>
            <a:effectLst/>
          </c:spPr>
        </c:title>
        <c:numFmt formatCode="#,##0.0" sourceLinked="0"/>
        <c:majorTickMark val="out"/>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03279960"/>
        <c:crosses val="autoZero"/>
        <c:crossBetween val="midCat"/>
        <c:majorUnit val="1"/>
      </c:valAx>
      <c:spPr>
        <a:noFill/>
        <a:ln>
          <a:noFill/>
        </a:ln>
        <a:effectLst/>
      </c:spPr>
    </c:plotArea>
    <c:plotVisOnly val="1"/>
    <c:dispBlanksAs val="gap"/>
    <c:showDLblsOverMax val="0"/>
  </c:chart>
  <c:spPr>
    <a:solidFill>
      <a:schemeClr val="bg1"/>
    </a:solidFill>
    <a:ln w="3175" cap="flat" cmpd="sng" algn="ctr">
      <a:solidFill>
        <a:schemeClr val="tx1"/>
      </a:solidFill>
      <a:prstDash val="solid"/>
      <a:round/>
    </a:ln>
    <a:effectLst/>
  </c:spPr>
  <c:txPr>
    <a:bodyPr/>
    <a:lstStyle/>
    <a:p>
      <a:pPr>
        <a:defRPr lang="en-US" b="1"/>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41886151630499"/>
          <c:y val="6.1578034858787399E-2"/>
          <c:w val="0.77256572821158698"/>
          <c:h val="0.71098158993470995"/>
        </c:manualLayout>
      </c:layout>
      <c:scatterChart>
        <c:scatterStyle val="lineMarker"/>
        <c:varyColors val="0"/>
        <c:ser>
          <c:idx val="2"/>
          <c:order val="0"/>
          <c:tx>
            <c:strRef>
              <c:f>Sheet1!$D$1</c:f>
              <c:strCache>
                <c:ptCount val="1"/>
                <c:pt idx="0">
                  <c:v>3rd run</c:v>
                </c:pt>
              </c:strCache>
            </c:strRef>
          </c:tx>
          <c:spPr>
            <a:ln w="9525" cap="rnd" cmpd="sng" algn="ctr">
              <a:solidFill>
                <a:schemeClr val="tx1"/>
              </a:solidFill>
              <a:prstDash val="solid"/>
              <a:round/>
            </a:ln>
            <a:effectLst>
              <a:outerShdw blurRad="40000" dist="23000" dir="5400000" rotWithShape="0">
                <a:srgbClr val="000000">
                  <a:alpha val="35000"/>
                </a:srgbClr>
              </a:outerShdw>
            </a:effectLst>
          </c:spPr>
          <c:marker>
            <c:symbol val="circle"/>
            <c:size val="5"/>
            <c:spPr>
              <a:solidFill>
                <a:schemeClr val="tx1"/>
              </a:solidFill>
              <a:ln w="9525" cap="rnd" cmpd="sng" algn="ctr">
                <a:solidFill>
                  <a:schemeClr val="tx1"/>
                </a:solidFill>
                <a:prstDash val="solid"/>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Sheet1!$A$2:$A$8</c:f>
              <c:numCache>
                <c:formatCode>General</c:formatCode>
                <c:ptCount val="7"/>
                <c:pt idx="0">
                  <c:v>50</c:v>
                </c:pt>
                <c:pt idx="1">
                  <c:v>100</c:v>
                </c:pt>
                <c:pt idx="2">
                  <c:v>250</c:v>
                </c:pt>
                <c:pt idx="3">
                  <c:v>500</c:v>
                </c:pt>
                <c:pt idx="4">
                  <c:v>1000</c:v>
                </c:pt>
                <c:pt idx="5">
                  <c:v>1500</c:v>
                </c:pt>
                <c:pt idx="6">
                  <c:v>2000</c:v>
                </c:pt>
              </c:numCache>
            </c:numRef>
          </c:xVal>
          <c:yVal>
            <c:numRef>
              <c:f>Sheet1!$D$2:$D$8</c:f>
              <c:numCache>
                <c:formatCode>General</c:formatCode>
                <c:ptCount val="7"/>
                <c:pt idx="0">
                  <c:v>4.8099999999999996</c:v>
                </c:pt>
                <c:pt idx="1">
                  <c:v>9.64</c:v>
                </c:pt>
                <c:pt idx="2">
                  <c:v>24.33</c:v>
                </c:pt>
                <c:pt idx="3">
                  <c:v>48.71</c:v>
                </c:pt>
                <c:pt idx="4">
                  <c:v>91.87</c:v>
                </c:pt>
                <c:pt idx="5">
                  <c:v>124.43</c:v>
                </c:pt>
                <c:pt idx="6">
                  <c:v>143.55000000000001</c:v>
                </c:pt>
              </c:numCache>
            </c:numRef>
          </c:yVal>
          <c:smooth val="0"/>
          <c:extLst>
            <c:ext xmlns:c16="http://schemas.microsoft.com/office/drawing/2014/chart" uri="{C3380CC4-5D6E-409C-BE32-E72D297353CC}">
              <c16:uniqueId val="{00000000-B571-4789-A5E3-ECCB08484671}"/>
            </c:ext>
          </c:extLst>
        </c:ser>
        <c:dLbls>
          <c:showLegendKey val="0"/>
          <c:showVal val="0"/>
          <c:showCatName val="0"/>
          <c:showSerName val="0"/>
          <c:showPercent val="0"/>
          <c:showBubbleSize val="0"/>
        </c:dLbls>
        <c:axId val="2102816808"/>
        <c:axId val="2104810232"/>
      </c:scatterChart>
      <c:valAx>
        <c:axId val="2102816808"/>
        <c:scaling>
          <c:orientation val="minMax"/>
        </c:scaling>
        <c:delete val="0"/>
        <c:axPos val="b"/>
        <c:title>
          <c:tx>
            <c:rich>
              <a:bodyPr rot="0" spcFirstLastPara="0" vertOverflow="ellipsis" vert="horz" wrap="square" anchor="ctr" anchorCtr="1"/>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r>
                  <a:rPr lang="en-US" sz="900">
                    <a:latin typeface="Times New Roman" panose="02020603050405020304" charset="0"/>
                    <a:cs typeface="Times New Roman" panose="02020603050405020304" charset="0"/>
                  </a:rPr>
                  <a:t>Pb(II) initial concentration, mg/L</a:t>
                </a:r>
              </a:p>
            </c:rich>
          </c:tx>
          <c:layout>
            <c:manualLayout>
              <c:xMode val="edge"/>
              <c:yMode val="edge"/>
              <c:x val="0.35479489326568803"/>
              <c:y val="0.89757315922698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prstDash val="solid"/>
            <a:round/>
          </a:ln>
          <a:effectLst/>
        </c:spPr>
        <c:txPr>
          <a:bodyPr rot="0" spcFirstLastPara="0" vertOverflow="ellipsis" vert="horz" wrap="square" anchor="ctr" anchorCtr="1"/>
          <a:lstStyle/>
          <a:p>
            <a:pPr>
              <a:defRPr lang="en-US"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04810232"/>
        <c:crosses val="autoZero"/>
        <c:crossBetween val="midCat"/>
      </c:valAx>
      <c:valAx>
        <c:axId val="2104810232"/>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r>
                  <a:rPr lang="en-US" sz="900">
                    <a:latin typeface="Times New Roman" panose="02020603050405020304" charset="0"/>
                    <a:cs typeface="Times New Roman" panose="02020603050405020304" charset="0"/>
                  </a:rPr>
                  <a:t>Pb(II) uptake, q, mg/g</a:t>
                </a:r>
              </a:p>
            </c:rich>
          </c:tx>
          <c:layout>
            <c:manualLayout>
              <c:xMode val="edge"/>
              <c:yMode val="edge"/>
              <c:x val="1.8959325794731401E-2"/>
              <c:y val="0.15450705672467099"/>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en-US"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102816808"/>
        <c:crosses val="autoZero"/>
        <c:crossBetween val="midCat"/>
      </c:valAx>
      <c:spPr>
        <a:noFill/>
        <a:ln w="25400">
          <a:noFill/>
        </a:ln>
        <a:effectLst/>
      </c:spPr>
    </c:plotArea>
    <c:plotVisOnly val="1"/>
    <c:dispBlanksAs val="gap"/>
    <c:showDLblsOverMax val="0"/>
  </c:chart>
  <c:spPr>
    <a:solidFill>
      <a:schemeClr val="bg1"/>
    </a:solidFill>
    <a:ln w="3175" cap="flat" cmpd="sng" algn="ctr">
      <a:solidFill>
        <a:schemeClr val="tx1"/>
      </a:solidFill>
      <a:prstDash val="solid"/>
      <a:round/>
    </a:ln>
    <a:effectLst/>
  </c:spPr>
  <c:txPr>
    <a:bodyPr/>
    <a:lstStyle/>
    <a:p>
      <a:pPr>
        <a:defRPr lang="en-US" b="1"/>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34951881014899"/>
          <c:y val="5.10204081632653E-2"/>
          <c:w val="0.80130336832895899"/>
          <c:h val="0.75096635647816701"/>
        </c:manualLayout>
      </c:layout>
      <c:scatterChart>
        <c:scatterStyle val="lineMarker"/>
        <c:varyColors val="0"/>
        <c:ser>
          <c:idx val="0"/>
          <c:order val="0"/>
          <c:tx>
            <c:strRef>
              <c:f>'Isotherm models'!$D$28</c:f>
              <c:strCache>
                <c:ptCount val="1"/>
                <c:pt idx="0">
                  <c:v>1/q</c:v>
                </c:pt>
              </c:strCache>
            </c:strRef>
          </c:tx>
          <c:spPr>
            <a:ln w="25400" cap="rnd">
              <a:noFill/>
              <a:round/>
            </a:ln>
            <a:effectLst/>
          </c:spPr>
          <c:marker>
            <c:symbol val="circle"/>
            <c:size val="5"/>
            <c:spPr>
              <a:solidFill>
                <a:schemeClr val="accent1"/>
              </a:solidFill>
              <a:ln w="9525">
                <a:solidFill>
                  <a:schemeClr val="tx1"/>
                </a:solidFill>
                <a:round/>
              </a:ln>
              <a:effectLst/>
            </c:spPr>
          </c:marker>
          <c:trendline>
            <c:spPr>
              <a:ln w="9525" cap="rnd">
                <a:solidFill>
                  <a:schemeClr val="tx1"/>
                </a:solidFill>
              </a:ln>
              <a:effectLst/>
            </c:spPr>
            <c:trendlineType val="linear"/>
            <c:dispRSqr val="0"/>
            <c:dispEq val="0"/>
          </c:trendline>
          <c:xVal>
            <c:numRef>
              <c:f>'Isotherm models'!$C$29:$C$34</c:f>
              <c:numCache>
                <c:formatCode>General</c:formatCode>
                <c:ptCount val="6"/>
                <c:pt idx="0">
                  <c:v>0.52100000000000002</c:v>
                </c:pt>
                <c:pt idx="1">
                  <c:v>0.26</c:v>
                </c:pt>
                <c:pt idx="2">
                  <c:v>4.2000000000000003E-2</c:v>
                </c:pt>
                <c:pt idx="3">
                  <c:v>1.2E-2</c:v>
                </c:pt>
                <c:pt idx="4">
                  <c:v>4.0000000000000001E-3</c:v>
                </c:pt>
                <c:pt idx="5">
                  <c:v>2E-3</c:v>
                </c:pt>
              </c:numCache>
            </c:numRef>
          </c:xVal>
          <c:yVal>
            <c:numRef>
              <c:f>'Isotherm models'!$D$29:$D$34</c:f>
              <c:numCache>
                <c:formatCode>General</c:formatCode>
                <c:ptCount val="6"/>
                <c:pt idx="0">
                  <c:v>0.20799999999999999</c:v>
                </c:pt>
                <c:pt idx="1">
                  <c:v>0.104</c:v>
                </c:pt>
                <c:pt idx="2">
                  <c:v>2.1000000000000001E-2</c:v>
                </c:pt>
                <c:pt idx="3">
                  <c:v>1.0999999999999999E-2</c:v>
                </c:pt>
                <c:pt idx="4">
                  <c:v>8.0000000000000002E-3</c:v>
                </c:pt>
                <c:pt idx="5">
                  <c:v>7.0000000000000001E-3</c:v>
                </c:pt>
              </c:numCache>
            </c:numRef>
          </c:yVal>
          <c:smooth val="0"/>
          <c:extLst>
            <c:ext xmlns:c16="http://schemas.microsoft.com/office/drawing/2014/chart" uri="{C3380CC4-5D6E-409C-BE32-E72D297353CC}">
              <c16:uniqueId val="{00000001-FAC4-49EC-9E0E-4707DB4B5F3E}"/>
            </c:ext>
          </c:extLst>
        </c:ser>
        <c:dLbls>
          <c:showLegendKey val="0"/>
          <c:showVal val="0"/>
          <c:showCatName val="0"/>
          <c:showSerName val="0"/>
          <c:showPercent val="0"/>
          <c:showBubbleSize val="0"/>
        </c:dLbls>
        <c:axId val="2104656232"/>
        <c:axId val="2104783496"/>
      </c:scatterChart>
      <c:valAx>
        <c:axId val="2104656232"/>
        <c:scaling>
          <c:orientation val="minMax"/>
          <c:min val="1E-3"/>
        </c:scaling>
        <c:delete val="0"/>
        <c:axPos val="b"/>
        <c:title>
          <c:tx>
            <c:rich>
              <a:bodyPr rot="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GB" sz="900" b="1" cap="none">
                    <a:solidFill>
                      <a:sysClr val="windowText" lastClr="000000"/>
                    </a:solidFill>
                    <a:latin typeface="Times New Roman" panose="02020603050405020304" charset="0"/>
                    <a:cs typeface="Times New Roman" panose="02020603050405020304" charset="0"/>
                  </a:rPr>
                  <a:t>1/Cf (1/mg)</a:t>
                </a:r>
              </a:p>
            </c:rich>
          </c:tx>
          <c:overlay val="0"/>
          <c:spPr>
            <a:noFill/>
            <a:ln>
              <a:noFill/>
            </a:ln>
            <a:effectLst/>
          </c:spPr>
          <c:txPr>
            <a:bodyPr rot="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cap="all" spc="120" normalizeH="0" baseline="0">
                <a:solidFill>
                  <a:sysClr val="windowText" lastClr="000000"/>
                </a:solidFill>
                <a:latin typeface="Times New Roman" panose="02020603050405020304" charset="0"/>
                <a:ea typeface="+mn-ea"/>
                <a:cs typeface="Times New Roman" panose="02020603050405020304" charset="0"/>
              </a:defRPr>
            </a:pPr>
            <a:endParaRPr lang="en-US"/>
          </a:p>
        </c:txPr>
        <c:crossAx val="2104783496"/>
        <c:crosses val="autoZero"/>
        <c:crossBetween val="midCat"/>
      </c:valAx>
      <c:valAx>
        <c:axId val="2104783496"/>
        <c:scaling>
          <c:orientation val="minMax"/>
        </c:scaling>
        <c:delete val="0"/>
        <c:axPos val="l"/>
        <c:title>
          <c:tx>
            <c:rich>
              <a:bodyPr rot="-5400000" spcFirstLastPara="1" vertOverflow="ellipsis" vert="horz" wrap="square" anchor="ctr" anchorCtr="1"/>
              <a:lstStyle/>
              <a:p>
                <a:pPr>
                  <a:defRPr lang="en-US" sz="1000" b="1"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GB" sz="1000" b="1" cap="none">
                    <a:solidFill>
                      <a:sysClr val="windowText" lastClr="000000"/>
                    </a:solidFill>
                    <a:latin typeface="Times New Roman" panose="02020603050405020304" charset="0"/>
                    <a:cs typeface="Times New Roman" panose="02020603050405020304" charset="0"/>
                  </a:rPr>
                  <a:t>1/q (g/mg)</a:t>
                </a:r>
              </a:p>
            </c:rich>
          </c:tx>
          <c:overlay val="0"/>
          <c:spPr>
            <a:noFill/>
            <a:ln>
              <a:noFill/>
            </a:ln>
            <a:effectLst/>
          </c:spPr>
          <c:txPr>
            <a:bodyPr rot="-5400000" spcFirstLastPara="1" vertOverflow="ellipsis" vert="horz" wrap="square" anchor="ctr" anchorCtr="1"/>
            <a:lstStyle/>
            <a:p>
              <a:pPr>
                <a:defRPr lang="en-US" sz="1000" b="1"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ln>
                  <a:noFill/>
                </a:ln>
                <a:solidFill>
                  <a:sysClr val="windowText" lastClr="000000"/>
                </a:solidFill>
                <a:latin typeface="Times New Roman" panose="02020603050405020304" charset="0"/>
                <a:ea typeface="+mn-ea"/>
                <a:cs typeface="Times New Roman" panose="02020603050405020304" charset="0"/>
              </a:defRPr>
            </a:pPr>
            <a:endParaRPr lang="en-US"/>
          </a:p>
        </c:txPr>
        <c:crossAx val="2104656232"/>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lang="en-US"/>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558855399416"/>
          <c:y val="4.8484848484848499E-2"/>
          <c:w val="0.784064997811593"/>
          <c:h val="0.66849534717251302"/>
        </c:manualLayout>
      </c:layout>
      <c:scatterChart>
        <c:scatterStyle val="lineMarker"/>
        <c:varyColors val="0"/>
        <c:ser>
          <c:idx val="0"/>
          <c:order val="0"/>
          <c:tx>
            <c:strRef>
              <c:f>'Isotherm models'!$H$28</c:f>
              <c:strCache>
                <c:ptCount val="1"/>
                <c:pt idx="0">
                  <c:v>log q</c:v>
                </c:pt>
              </c:strCache>
            </c:strRef>
          </c:tx>
          <c:spPr>
            <a:ln w="25400" cap="rnd">
              <a:noFill/>
              <a:round/>
            </a:ln>
            <a:effectLst>
              <a:outerShdw blurRad="40000" dist="23000" dir="5400000" rotWithShape="0">
                <a:srgbClr val="000000">
                  <a:alpha val="35000"/>
                </a:srgbClr>
              </a:outerShdw>
            </a:effectLst>
          </c:spPr>
          <c:marker>
            <c:symbol val="circle"/>
            <c:size val="5"/>
            <c:spPr>
              <a:solidFill>
                <a:schemeClr val="tx1"/>
              </a:soli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tx1"/>
                </a:solidFill>
              </a:ln>
              <a:effectLst/>
            </c:spPr>
            <c:trendlineType val="linear"/>
            <c:dispRSqr val="0"/>
            <c:dispEq val="0"/>
          </c:trendline>
          <c:xVal>
            <c:numRef>
              <c:f>'Isotherm models'!$G$29:$G$34</c:f>
              <c:numCache>
                <c:formatCode>General</c:formatCode>
                <c:ptCount val="6"/>
                <c:pt idx="0">
                  <c:v>0.28299999999999997</c:v>
                </c:pt>
                <c:pt idx="1">
                  <c:v>0.58499999999999996</c:v>
                </c:pt>
                <c:pt idx="2">
                  <c:v>1.377</c:v>
                </c:pt>
                <c:pt idx="3">
                  <c:v>1.91</c:v>
                </c:pt>
                <c:pt idx="4">
                  <c:v>2.4980000000000002</c:v>
                </c:pt>
                <c:pt idx="5">
                  <c:v>2.7519999999999998</c:v>
                </c:pt>
              </c:numCache>
            </c:numRef>
          </c:xVal>
          <c:yVal>
            <c:numRef>
              <c:f>'Isotherm models'!$H$29:$H$34</c:f>
              <c:numCache>
                <c:formatCode>General</c:formatCode>
                <c:ptCount val="6"/>
                <c:pt idx="0">
                  <c:v>0.68200000000000005</c:v>
                </c:pt>
                <c:pt idx="1">
                  <c:v>0.98299999999999998</c:v>
                </c:pt>
                <c:pt idx="2">
                  <c:v>1.6779999999999999</c:v>
                </c:pt>
                <c:pt idx="3">
                  <c:v>1.9630000000000001</c:v>
                </c:pt>
                <c:pt idx="4">
                  <c:v>2.0950000000000002</c:v>
                </c:pt>
                <c:pt idx="5">
                  <c:v>2.157</c:v>
                </c:pt>
              </c:numCache>
            </c:numRef>
          </c:yVal>
          <c:smooth val="0"/>
          <c:extLst>
            <c:ext xmlns:c16="http://schemas.microsoft.com/office/drawing/2014/chart" uri="{C3380CC4-5D6E-409C-BE32-E72D297353CC}">
              <c16:uniqueId val="{00000001-C0C9-48A1-9910-C56C10793211}"/>
            </c:ext>
          </c:extLst>
        </c:ser>
        <c:dLbls>
          <c:showLegendKey val="0"/>
          <c:showVal val="0"/>
          <c:showCatName val="0"/>
          <c:showSerName val="0"/>
          <c:showPercent val="0"/>
          <c:showBubbleSize val="0"/>
        </c:dLbls>
        <c:axId val="2104933176"/>
        <c:axId val="2103387544"/>
      </c:scatterChart>
      <c:valAx>
        <c:axId val="2104933176"/>
        <c:scaling>
          <c:orientation val="minMax"/>
        </c:scaling>
        <c:delete val="0"/>
        <c:axPos val="b"/>
        <c:title>
          <c:tx>
            <c:rich>
              <a:bodyPr rot="0" spcFirstLastPara="1" vertOverflow="ellipsis" vert="horz" wrap="square" anchor="ctr" anchorCtr="1"/>
              <a:lstStyle/>
              <a:p>
                <a:pPr>
                  <a:defRPr lang="en-US" sz="900" b="1" i="0" u="none" strike="noStrike" kern="1200" baseline="0">
                    <a:ln>
                      <a:noFill/>
                    </a:ln>
                    <a:solidFill>
                      <a:sysClr val="windowText" lastClr="000000"/>
                    </a:solidFill>
                    <a:latin typeface="Times New Roman" panose="02020603050405020304" charset="0"/>
                    <a:ea typeface="+mn-ea"/>
                    <a:cs typeface="Times New Roman" panose="02020603050405020304" charset="0"/>
                  </a:defRPr>
                </a:pPr>
                <a:r>
                  <a:rPr lang="en-US" sz="900" b="1">
                    <a:solidFill>
                      <a:sysClr val="windowText" lastClr="000000"/>
                    </a:solidFill>
                    <a:latin typeface="Times New Roman" panose="02020603050405020304" charset="0"/>
                    <a:cs typeface="Times New Roman" panose="02020603050405020304" charset="0"/>
                  </a:rPr>
                  <a:t>log Cf</a:t>
                </a:r>
              </a:p>
            </c:rich>
          </c:tx>
          <c:layout>
            <c:manualLayout>
              <c:xMode val="edge"/>
              <c:yMode val="edge"/>
              <c:x val="0.52023169823366699"/>
              <c:y val="0.805214220949654"/>
            </c:manualLayout>
          </c:layout>
          <c:overlay val="0"/>
          <c:spPr>
            <a:noFill/>
            <a:ln>
              <a:noFill/>
            </a:ln>
            <a:effectLst/>
          </c:spPr>
          <c:txPr>
            <a:bodyPr rot="0" spcFirstLastPara="1" vertOverflow="ellipsis" vert="horz" wrap="square" anchor="ctr" anchorCtr="1"/>
            <a:lstStyle/>
            <a:p>
              <a:pPr>
                <a:defRPr lang="en-US" sz="900" b="1" i="0" u="none" strike="noStrike" kern="1200" baseline="0">
                  <a:ln>
                    <a:noFill/>
                  </a:ln>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lang="en-US" sz="8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03387544"/>
        <c:crosses val="autoZero"/>
        <c:crossBetween val="midCat"/>
      </c:valAx>
      <c:valAx>
        <c:axId val="2103387544"/>
        <c:scaling>
          <c:orientation val="minMax"/>
        </c:scaling>
        <c:delete val="0"/>
        <c:axPos val="l"/>
        <c:title>
          <c:tx>
            <c:rich>
              <a:bodyPr rot="-5400000" spcFirstLastPara="1" vertOverflow="ellipsis" vert="horz" wrap="square" anchor="ctr" anchorCtr="1"/>
              <a:lstStyle/>
              <a:p>
                <a:pPr>
                  <a:defRPr lang="en-US" sz="900" b="1" i="0" u="none" strike="noStrike" kern="1200" baseline="0">
                    <a:ln>
                      <a:noFill/>
                    </a:ln>
                    <a:solidFill>
                      <a:sysClr val="windowText" lastClr="000000"/>
                    </a:solidFill>
                    <a:latin typeface="Times New Roman" panose="02020603050405020304" charset="0"/>
                    <a:ea typeface="+mn-ea"/>
                    <a:cs typeface="Times New Roman" panose="02020603050405020304" charset="0"/>
                  </a:defRPr>
                </a:pPr>
                <a:r>
                  <a:rPr lang="en-US" sz="900">
                    <a:solidFill>
                      <a:sysClr val="windowText" lastClr="000000"/>
                    </a:solidFill>
                    <a:latin typeface="Times New Roman" panose="02020603050405020304" charset="0"/>
                    <a:cs typeface="Times New Roman" panose="02020603050405020304" charset="0"/>
                  </a:rPr>
                  <a:t>log q</a:t>
                </a:r>
              </a:p>
            </c:rich>
          </c:tx>
          <c:overlay val="0"/>
          <c:spPr>
            <a:noFill/>
            <a:ln>
              <a:noFill/>
            </a:ln>
            <a:effectLst/>
          </c:spPr>
          <c:txPr>
            <a:bodyPr rot="-5400000" spcFirstLastPara="1" vertOverflow="ellipsis" vert="horz" wrap="square" anchor="ctr" anchorCtr="1"/>
            <a:lstStyle/>
            <a:p>
              <a:pPr>
                <a:defRPr lang="en-US" sz="900" b="1" i="0" u="none" strike="noStrike" kern="1200" baseline="0">
                  <a:ln>
                    <a:noFill/>
                  </a:ln>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lang="en-US" sz="8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04933176"/>
        <c:crosses val="autoZero"/>
        <c:crossBetween val="midCat"/>
      </c:valAx>
      <c:spPr>
        <a:noFill/>
        <a:ln w="0">
          <a:solidFill>
            <a:schemeClr val="bg1"/>
          </a:solidFill>
        </a:ln>
        <a:effectLst/>
      </c:spPr>
    </c:plotArea>
    <c:plotVisOnly val="1"/>
    <c:dispBlanksAs val="gap"/>
    <c:showDLblsOverMax val="0"/>
  </c:chart>
  <c:spPr>
    <a:solidFill>
      <a:schemeClr val="bg1"/>
    </a:solidFill>
    <a:ln w="9525" cap="flat" cmpd="sng" algn="ctr">
      <a:solidFill>
        <a:schemeClr val="tx1"/>
      </a:solidFill>
      <a:round/>
    </a:ln>
    <a:effectLst/>
  </c:spPr>
  <c:txPr>
    <a:bodyPr rot="0"/>
    <a:lstStyle/>
    <a:p>
      <a:pPr>
        <a:defRPr lang="en-US">
          <a:ln>
            <a:noFill/>
          </a:ln>
          <a:solidFill>
            <a:schemeClr val="tx2"/>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'First Order kinetics'!$B$1</c:f>
              <c:strCache>
                <c:ptCount val="1"/>
                <c:pt idx="0">
                  <c:v>log(qe-qt)</c:v>
                </c:pt>
              </c:strCache>
            </c:strRef>
          </c:tx>
          <c:spPr>
            <a:ln w="25400" cap="rnd">
              <a:noFill/>
              <a:round/>
            </a:ln>
            <a:effectLst/>
          </c:spPr>
          <c:marker>
            <c:symbol val="circle"/>
            <c:size val="5"/>
            <c:spPr>
              <a:solidFill>
                <a:schemeClr val="accent1"/>
              </a:solidFill>
              <a:ln w="9525">
                <a:solidFill>
                  <a:schemeClr val="tx1"/>
                </a:solidFill>
                <a:round/>
              </a:ln>
              <a:effectLst/>
            </c:spPr>
          </c:marker>
          <c:trendline>
            <c:spPr>
              <a:ln w="9525" cap="rnd">
                <a:solidFill>
                  <a:schemeClr val="tx1"/>
                </a:solidFill>
              </a:ln>
              <a:effectLst/>
            </c:spPr>
            <c:trendlineType val="linear"/>
            <c:dispRSqr val="0"/>
            <c:dispEq val="0"/>
          </c:trendline>
          <c:xVal>
            <c:numRef>
              <c:f>'First Order kinetics'!$A$2:$A$7</c:f>
              <c:numCache>
                <c:formatCode>General</c:formatCode>
                <c:ptCount val="6"/>
                <c:pt idx="0">
                  <c:v>0</c:v>
                </c:pt>
                <c:pt idx="1">
                  <c:v>10</c:v>
                </c:pt>
                <c:pt idx="2">
                  <c:v>15</c:v>
                </c:pt>
                <c:pt idx="3">
                  <c:v>30</c:v>
                </c:pt>
                <c:pt idx="4">
                  <c:v>60</c:v>
                </c:pt>
                <c:pt idx="5">
                  <c:v>120</c:v>
                </c:pt>
              </c:numCache>
            </c:numRef>
          </c:xVal>
          <c:yVal>
            <c:numRef>
              <c:f>'First Order kinetics'!$B$2:$B$7</c:f>
              <c:numCache>
                <c:formatCode>General</c:formatCode>
                <c:ptCount val="6"/>
                <c:pt idx="0">
                  <c:v>0.60699999999999998</c:v>
                </c:pt>
                <c:pt idx="1">
                  <c:v>0.40899999999999997</c:v>
                </c:pt>
                <c:pt idx="2">
                  <c:v>0.247</c:v>
                </c:pt>
                <c:pt idx="3">
                  <c:v>-0.06</c:v>
                </c:pt>
                <c:pt idx="4">
                  <c:v>-0.22600000000000001</c:v>
                </c:pt>
                <c:pt idx="5">
                  <c:v>-0.70599999999999996</c:v>
                </c:pt>
              </c:numCache>
            </c:numRef>
          </c:yVal>
          <c:smooth val="0"/>
          <c:extLst>
            <c:ext xmlns:c16="http://schemas.microsoft.com/office/drawing/2014/chart" uri="{C3380CC4-5D6E-409C-BE32-E72D297353CC}">
              <c16:uniqueId val="{00000001-7E32-423B-983B-BD3679D50A14}"/>
            </c:ext>
          </c:extLst>
        </c:ser>
        <c:dLbls>
          <c:showLegendKey val="0"/>
          <c:showVal val="0"/>
          <c:showCatName val="0"/>
          <c:showSerName val="0"/>
          <c:showPercent val="0"/>
          <c:showBubbleSize val="0"/>
        </c:dLbls>
        <c:axId val="2103265288"/>
        <c:axId val="2103281352"/>
      </c:scatterChart>
      <c:valAx>
        <c:axId val="2103265288"/>
        <c:scaling>
          <c:orientation val="minMax"/>
        </c:scaling>
        <c:delete val="0"/>
        <c:axPos val="b"/>
        <c:title>
          <c:tx>
            <c:rich>
              <a:bodyPr rot="0" spcFirstLastPara="1" vertOverflow="ellipsis" vert="horz" wrap="square" anchor="ctr" anchorCtr="1"/>
              <a:lstStyle/>
              <a:p>
                <a:pPr>
                  <a:defRPr lang="en-US" sz="900" b="0"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US" sz="900" cap="none">
                    <a:solidFill>
                      <a:sysClr val="windowText" lastClr="000000"/>
                    </a:solidFill>
                    <a:latin typeface="Times New Roman" panose="02020603050405020304" charset="0"/>
                    <a:cs typeface="Times New Roman" panose="02020603050405020304" charset="0"/>
                  </a:rPr>
                  <a:t>time, min</a:t>
                </a:r>
              </a:p>
            </c:rich>
          </c:tx>
          <c:overlay val="0"/>
          <c:spPr>
            <a:noFill/>
            <a:ln>
              <a:noFill/>
            </a:ln>
            <a:effectLst/>
          </c:spPr>
          <c:txPr>
            <a:bodyPr rot="0" spcFirstLastPara="1" vertOverflow="ellipsis" vert="horz" wrap="square" anchor="ctr" anchorCtr="1"/>
            <a:lstStyle/>
            <a:p>
              <a:pPr>
                <a:defRPr lang="en-US" sz="900" b="0"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cap="all" spc="120" normalizeH="0" baseline="0">
                <a:solidFill>
                  <a:sysClr val="windowText" lastClr="000000"/>
                </a:solidFill>
                <a:latin typeface="Times New Roman" panose="02020603050405020304" charset="0"/>
                <a:ea typeface="+mn-ea"/>
                <a:cs typeface="Times New Roman" panose="02020603050405020304" charset="0"/>
              </a:defRPr>
            </a:pPr>
            <a:endParaRPr lang="en-US"/>
          </a:p>
        </c:txPr>
        <c:crossAx val="2103281352"/>
        <c:crosses val="autoZero"/>
        <c:crossBetween val="midCat"/>
      </c:valAx>
      <c:valAx>
        <c:axId val="2103281352"/>
        <c:scaling>
          <c:orientation val="minMax"/>
        </c:scaling>
        <c:delete val="0"/>
        <c:axPos val="l"/>
        <c:title>
          <c:tx>
            <c:rich>
              <a:bodyPr rot="-540000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US" sz="900" b="1" cap="none">
                    <a:solidFill>
                      <a:sysClr val="windowText" lastClr="000000"/>
                    </a:solidFill>
                    <a:latin typeface="Times New Roman" panose="02020603050405020304" charset="0"/>
                    <a:cs typeface="Times New Roman" panose="02020603050405020304" charset="0"/>
                  </a:rPr>
                  <a:t>log (qe-qt)</a:t>
                </a:r>
              </a:p>
            </c:rich>
          </c:tx>
          <c:overlay val="0"/>
          <c:spPr>
            <a:noFill/>
            <a:ln>
              <a:noFill/>
            </a:ln>
            <a:effectLst/>
          </c:spPr>
          <c:txPr>
            <a:bodyPr rot="-540000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2103265288"/>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lang="en-US"/>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 models'!$D$28</c:f>
              <c:strCache>
                <c:ptCount val="1"/>
                <c:pt idx="0">
                  <c:v>1/q</c:v>
                </c:pt>
              </c:strCache>
            </c:strRef>
          </c:tx>
          <c:spPr>
            <a:ln w="25400" cap="rnd">
              <a:noFill/>
              <a:round/>
            </a:ln>
            <a:effectLst/>
          </c:spPr>
          <c:marker>
            <c:symbol val="circle"/>
            <c:size val="5"/>
            <c:spPr>
              <a:solidFill>
                <a:schemeClr val="accent1"/>
              </a:solidFill>
              <a:ln w="9525">
                <a:solidFill>
                  <a:schemeClr val="tx1"/>
                </a:solidFill>
                <a:round/>
              </a:ln>
              <a:effectLst/>
            </c:spPr>
          </c:marker>
          <c:trendline>
            <c:spPr>
              <a:ln w="9525" cap="rnd">
                <a:solidFill>
                  <a:schemeClr val="tx1"/>
                </a:solidFill>
              </a:ln>
              <a:effectLst/>
            </c:spPr>
            <c:trendlineType val="linear"/>
            <c:dispRSqr val="0"/>
            <c:dispEq val="0"/>
          </c:trendline>
          <c:xVal>
            <c:numRef>
              <c:f>'Isotherm models'!$C$29:$C$34</c:f>
              <c:numCache>
                <c:formatCode>General</c:formatCode>
                <c:ptCount val="6"/>
                <c:pt idx="0">
                  <c:v>0.52100000000000002</c:v>
                </c:pt>
                <c:pt idx="1">
                  <c:v>0.26</c:v>
                </c:pt>
                <c:pt idx="2">
                  <c:v>4.2000000000000003E-2</c:v>
                </c:pt>
                <c:pt idx="3">
                  <c:v>1.2E-2</c:v>
                </c:pt>
                <c:pt idx="4">
                  <c:v>4.0000000000000001E-3</c:v>
                </c:pt>
                <c:pt idx="5">
                  <c:v>2E-3</c:v>
                </c:pt>
              </c:numCache>
            </c:numRef>
          </c:xVal>
          <c:yVal>
            <c:numRef>
              <c:f>'Isotherm models'!$D$29:$D$34</c:f>
              <c:numCache>
                <c:formatCode>General</c:formatCode>
                <c:ptCount val="6"/>
                <c:pt idx="0">
                  <c:v>0.20799999999999999</c:v>
                </c:pt>
                <c:pt idx="1">
                  <c:v>0.104</c:v>
                </c:pt>
                <c:pt idx="2">
                  <c:v>2.1000000000000001E-2</c:v>
                </c:pt>
                <c:pt idx="3">
                  <c:v>1.0999999999999999E-2</c:v>
                </c:pt>
                <c:pt idx="4">
                  <c:v>8.0000000000000002E-3</c:v>
                </c:pt>
                <c:pt idx="5">
                  <c:v>7.0000000000000001E-3</c:v>
                </c:pt>
              </c:numCache>
            </c:numRef>
          </c:yVal>
          <c:smooth val="0"/>
          <c:extLst>
            <c:ext xmlns:c16="http://schemas.microsoft.com/office/drawing/2014/chart" uri="{C3380CC4-5D6E-409C-BE32-E72D297353CC}">
              <c16:uniqueId val="{00000001-659D-40DA-9089-67E4980CF5DA}"/>
            </c:ext>
          </c:extLst>
        </c:ser>
        <c:dLbls>
          <c:showLegendKey val="0"/>
          <c:showVal val="0"/>
          <c:showCatName val="0"/>
          <c:showSerName val="0"/>
          <c:showPercent val="0"/>
          <c:showBubbleSize val="0"/>
        </c:dLbls>
        <c:axId val="2105003800"/>
        <c:axId val="2104877784"/>
      </c:scatterChart>
      <c:valAx>
        <c:axId val="2105003800"/>
        <c:scaling>
          <c:orientation val="minMax"/>
          <c:min val="1E-3"/>
        </c:scaling>
        <c:delete val="0"/>
        <c:axPos val="b"/>
        <c:title>
          <c:tx>
            <c:rich>
              <a:bodyPr rot="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GB" sz="900" b="1" cap="none">
                    <a:solidFill>
                      <a:sysClr val="windowText" lastClr="000000"/>
                    </a:solidFill>
                    <a:latin typeface="Times New Roman" panose="02020603050405020304" charset="0"/>
                    <a:cs typeface="Times New Roman" panose="02020603050405020304" charset="0"/>
                  </a:rPr>
                  <a:t>1/Cf (1/mg)</a:t>
                </a:r>
              </a:p>
            </c:rich>
          </c:tx>
          <c:overlay val="0"/>
          <c:spPr>
            <a:noFill/>
            <a:ln>
              <a:noFill/>
            </a:ln>
            <a:effectLst/>
          </c:spPr>
          <c:txPr>
            <a:bodyPr rot="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cap="all" spc="120" normalizeH="0" baseline="0">
                <a:solidFill>
                  <a:sysClr val="windowText" lastClr="000000"/>
                </a:solidFill>
                <a:latin typeface="Times New Roman" panose="02020603050405020304" charset="0"/>
                <a:ea typeface="+mn-ea"/>
                <a:cs typeface="Times New Roman" panose="02020603050405020304" charset="0"/>
              </a:defRPr>
            </a:pPr>
            <a:endParaRPr lang="en-US"/>
          </a:p>
        </c:txPr>
        <c:crossAx val="2104877784"/>
        <c:crosses val="autoZero"/>
        <c:crossBetween val="midCat"/>
      </c:valAx>
      <c:valAx>
        <c:axId val="2104877784"/>
        <c:scaling>
          <c:orientation val="minMax"/>
        </c:scaling>
        <c:delete val="0"/>
        <c:axPos val="l"/>
        <c:title>
          <c:tx>
            <c:rich>
              <a:bodyPr rot="-540000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r>
                  <a:rPr lang="en-GB" sz="900" b="1" cap="none">
                    <a:solidFill>
                      <a:sysClr val="windowText" lastClr="000000"/>
                    </a:solidFill>
                    <a:latin typeface="Times New Roman" panose="02020603050405020304" charset="0"/>
                    <a:cs typeface="Times New Roman" panose="02020603050405020304" charset="0"/>
                  </a:rPr>
                  <a:t>1/q (g/mg)</a:t>
                </a:r>
              </a:p>
            </c:rich>
          </c:tx>
          <c:overlay val="0"/>
          <c:spPr>
            <a:noFill/>
            <a:ln>
              <a:noFill/>
            </a:ln>
            <a:effectLst/>
          </c:spPr>
          <c:txPr>
            <a:bodyPr rot="-5400000" spcFirstLastPara="1" vertOverflow="ellipsis" vert="horz" wrap="square" anchor="ctr" anchorCtr="1"/>
            <a:lstStyle/>
            <a:p>
              <a:pPr>
                <a:defRPr lang="en-US" sz="900" b="1" i="0" u="none" strike="noStrike" kern="1200" cap="none" baseline="0">
                  <a:solidFill>
                    <a:sysClr val="windowText" lastClr="000000"/>
                  </a:solidFill>
                  <a:latin typeface="Times New Roman" panose="02020603050405020304" charset="0"/>
                  <a:ea typeface="+mn-ea"/>
                  <a:cs typeface="Times New Roman" panose="0202060305040502030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2105003800"/>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12491</Words>
  <Characters>71205</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83529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15</cp:revision>
  <dcterms:created xsi:type="dcterms:W3CDTF">2022-06-01T15:22:00Z</dcterms:created>
  <dcterms:modified xsi:type="dcterms:W3CDTF">2022-06-23T02:30:00Z</dcterms:modified>
</cp:coreProperties>
</file>