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14D11848" w14:textId="3B1A2824" w:rsidR="006768E9" w:rsidRPr="007E6407" w:rsidRDefault="007E6407" w:rsidP="00714E7A">
      <w:pPr>
        <w:spacing w:after="0"/>
        <w:jc w:val="center"/>
        <w:rPr>
          <w:rFonts w:asciiTheme="majorBidi" w:eastAsiaTheme="majorEastAsia" w:hAnsiTheme="majorBidi" w:cstheme="majorBidi"/>
          <w:sz w:val="28"/>
          <w:szCs w:val="28"/>
        </w:rPr>
      </w:pPr>
      <w:r w:rsidRPr="004E21B7">
        <w:rPr>
          <w:rFonts w:asciiTheme="majorBidi" w:eastAsiaTheme="majorEastAsia" w:hAnsiTheme="majorBidi" w:cstheme="majorBidi"/>
          <w:sz w:val="28"/>
          <w:szCs w:val="28"/>
        </w:rPr>
        <w:t>THE REMOVAL OF BISPHENOL-A FROM SYNTHETIC WASTEWATER USING THIN-FILM COMPOSITE MEMBRANE</w:t>
      </w:r>
    </w:p>
    <w:p w14:paraId="349D3987" w14:textId="77777777" w:rsidR="006768E9" w:rsidRPr="00F447A7" w:rsidRDefault="006768E9" w:rsidP="00714E7A">
      <w:pPr>
        <w:spacing w:after="0"/>
        <w:jc w:val="center"/>
        <w:rPr>
          <w:rFonts w:ascii="Times New Roman" w:hAnsi="Times New Roman"/>
          <w:noProof/>
          <w:sz w:val="24"/>
          <w:szCs w:val="24"/>
          <w:lang w:bidi="ar-SA"/>
        </w:rPr>
      </w:pPr>
    </w:p>
    <w:p w14:paraId="0EB4D2CD" w14:textId="4F35E110" w:rsidR="006768E9" w:rsidRPr="00F447A7" w:rsidRDefault="007E6407" w:rsidP="00714E7A">
      <w:pPr>
        <w:spacing w:after="0"/>
        <w:jc w:val="center"/>
        <w:rPr>
          <w:rFonts w:ascii="Times New Roman" w:hAnsi="Times New Roman"/>
          <w:noProof/>
          <w:sz w:val="24"/>
          <w:szCs w:val="24"/>
          <w:lang w:bidi="ar-SA"/>
        </w:rPr>
      </w:pPr>
      <w:r w:rsidRPr="007E6407">
        <w:rPr>
          <w:rFonts w:ascii="Times New Roman" w:hAnsi="Times New Roman"/>
          <w:noProof/>
          <w:sz w:val="24"/>
          <w:szCs w:val="24"/>
          <w:lang w:bidi="ar-SA"/>
        </w:rPr>
        <w:t>(Penyingkiran Bisfenol A daripada Sisa Air Sintetik Mengunakan Membran Lapisan Komposit Nipis)</w:t>
      </w:r>
    </w:p>
    <w:p w14:paraId="4A07C562" w14:textId="77777777" w:rsidR="006768E9" w:rsidRPr="00F447A7" w:rsidRDefault="006768E9" w:rsidP="00714E7A">
      <w:pPr>
        <w:spacing w:after="0"/>
        <w:jc w:val="center"/>
        <w:rPr>
          <w:rFonts w:ascii="Times New Roman" w:hAnsi="Times New Roman"/>
          <w:noProof/>
          <w:sz w:val="20"/>
          <w:szCs w:val="20"/>
          <w:lang w:bidi="ar-SA"/>
        </w:rPr>
      </w:pPr>
    </w:p>
    <w:p w14:paraId="272C224F" w14:textId="0DF823E1" w:rsidR="006768E9" w:rsidRPr="00F447A7" w:rsidRDefault="007E6407" w:rsidP="00714E7A">
      <w:pPr>
        <w:spacing w:after="0"/>
        <w:jc w:val="center"/>
        <w:rPr>
          <w:rFonts w:ascii="Times New Roman" w:hAnsi="Times New Roman"/>
          <w:noProof/>
          <w:sz w:val="20"/>
          <w:szCs w:val="20"/>
          <w:lang w:bidi="ar-SA"/>
        </w:rPr>
      </w:pPr>
      <w:bookmarkStart w:id="0" w:name="_Hlk104589166"/>
      <w:r w:rsidRPr="007E6407">
        <w:rPr>
          <w:rFonts w:ascii="Times New Roman" w:hAnsi="Times New Roman"/>
          <w:noProof/>
          <w:sz w:val="20"/>
          <w:szCs w:val="20"/>
          <w:lang w:bidi="ar-SA"/>
        </w:rPr>
        <w:t>Taofiq</w:t>
      </w:r>
      <w:bookmarkEnd w:id="0"/>
      <w:r w:rsidRPr="007E6407">
        <w:rPr>
          <w:rFonts w:ascii="Times New Roman" w:hAnsi="Times New Roman"/>
          <w:noProof/>
          <w:sz w:val="20"/>
          <w:szCs w:val="20"/>
          <w:lang w:bidi="ar-SA"/>
        </w:rPr>
        <w:t xml:space="preserve"> Damilare Aiyelabegan , Siti Nur Alwani Shafie, Shafiq Mohd Hizam, Nik Abdul Hadi Nordin*</w:t>
      </w:r>
    </w:p>
    <w:p w14:paraId="632D0524" w14:textId="77777777" w:rsidR="006768E9" w:rsidRPr="00F447A7" w:rsidRDefault="006768E9" w:rsidP="00714E7A">
      <w:pPr>
        <w:spacing w:after="0"/>
        <w:jc w:val="center"/>
        <w:rPr>
          <w:rFonts w:ascii="Times New Roman" w:hAnsi="Times New Roman"/>
          <w:noProof/>
          <w:sz w:val="18"/>
          <w:szCs w:val="18"/>
          <w:lang w:bidi="ar-SA"/>
        </w:rPr>
      </w:pPr>
    </w:p>
    <w:p w14:paraId="54F6BAF8" w14:textId="77777777" w:rsidR="00714E7A" w:rsidRDefault="007E6407" w:rsidP="00714E7A">
      <w:pPr>
        <w:spacing w:after="0"/>
        <w:jc w:val="center"/>
        <w:rPr>
          <w:rFonts w:ascii="Times New Roman" w:hAnsi="Times New Roman"/>
          <w:i/>
          <w:noProof/>
          <w:sz w:val="18"/>
          <w:szCs w:val="18"/>
          <w:lang w:bidi="ar-SA"/>
        </w:rPr>
      </w:pPr>
      <w:r w:rsidRPr="007E6407">
        <w:rPr>
          <w:rFonts w:ascii="Times New Roman" w:hAnsi="Times New Roman"/>
          <w:i/>
          <w:noProof/>
          <w:sz w:val="18"/>
          <w:szCs w:val="18"/>
          <w:lang w:bidi="ar-SA"/>
        </w:rPr>
        <w:t>Department of Chemical Engineering,</w:t>
      </w:r>
      <w:r>
        <w:rPr>
          <w:rFonts w:ascii="Times New Roman" w:hAnsi="Times New Roman"/>
          <w:i/>
          <w:noProof/>
          <w:sz w:val="18"/>
          <w:szCs w:val="18"/>
          <w:lang w:bidi="ar-SA"/>
        </w:rPr>
        <w:t xml:space="preserve"> </w:t>
      </w:r>
    </w:p>
    <w:p w14:paraId="512B2B1E" w14:textId="2F93D247" w:rsidR="006768E9" w:rsidRPr="00F447A7" w:rsidRDefault="007E6407" w:rsidP="00714E7A">
      <w:pPr>
        <w:spacing w:after="0"/>
        <w:jc w:val="center"/>
        <w:rPr>
          <w:rFonts w:ascii="Times New Roman" w:hAnsi="Times New Roman"/>
          <w:i/>
          <w:noProof/>
          <w:sz w:val="18"/>
          <w:szCs w:val="18"/>
          <w:lang w:bidi="ar-SA"/>
        </w:rPr>
      </w:pPr>
      <w:r w:rsidRPr="007E6407">
        <w:rPr>
          <w:rFonts w:ascii="Times New Roman" w:hAnsi="Times New Roman"/>
          <w:i/>
          <w:noProof/>
          <w:sz w:val="18"/>
          <w:szCs w:val="18"/>
          <w:lang w:bidi="ar-SA"/>
        </w:rPr>
        <w:t>Universiti Teknologi PETRONAS, 32610 Seri Iskandar, Perak, Malaysia</w:t>
      </w:r>
    </w:p>
    <w:p w14:paraId="0021ED1A" w14:textId="77777777" w:rsidR="006768E9" w:rsidRPr="00F447A7" w:rsidRDefault="006768E9" w:rsidP="00714E7A">
      <w:pPr>
        <w:spacing w:after="0"/>
        <w:jc w:val="center"/>
        <w:rPr>
          <w:rFonts w:ascii="Times New Roman" w:hAnsi="Times New Roman"/>
          <w:noProof/>
          <w:sz w:val="18"/>
          <w:szCs w:val="18"/>
          <w:lang w:bidi="ar-SA"/>
        </w:rPr>
      </w:pPr>
    </w:p>
    <w:p w14:paraId="3091B1B3" w14:textId="186F9962" w:rsidR="006768E9" w:rsidRPr="00F447A7" w:rsidRDefault="006768E9" w:rsidP="00714E7A">
      <w:pPr>
        <w:spacing w:after="0"/>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714E7A">
        <w:rPr>
          <w:rFonts w:ascii="Times New Roman" w:hAnsi="Times New Roman"/>
          <w:i/>
          <w:noProof/>
          <w:sz w:val="18"/>
          <w:szCs w:val="18"/>
          <w:lang w:bidi="ar-SA"/>
        </w:rPr>
        <w:t xml:space="preserve"> </w:t>
      </w:r>
      <w:r w:rsidR="007E6407" w:rsidRPr="007E6407">
        <w:rPr>
          <w:rFonts w:ascii="Times New Roman" w:hAnsi="Times New Roman"/>
          <w:i/>
          <w:noProof/>
          <w:sz w:val="18"/>
          <w:szCs w:val="18"/>
          <w:lang w:bidi="ar-SA"/>
        </w:rPr>
        <w:t>nahadi.sapiaa@utp.edu.my</w:t>
      </w:r>
    </w:p>
    <w:p w14:paraId="18D54BE3" w14:textId="77777777" w:rsidR="006768E9" w:rsidRDefault="006768E9" w:rsidP="00E70486">
      <w:pPr>
        <w:spacing w:after="0"/>
        <w:rPr>
          <w:rFonts w:ascii="Times New Roman" w:hAnsi="Times New Roman"/>
          <w:noProof/>
          <w:sz w:val="18"/>
          <w:szCs w:val="18"/>
          <w:lang w:bidi="ar-SA"/>
        </w:rPr>
      </w:pPr>
    </w:p>
    <w:p w14:paraId="49CD0BC5" w14:textId="2CD49DD6"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Received:</w:t>
      </w:r>
      <w:r w:rsidR="00E17D6C">
        <w:rPr>
          <w:rFonts w:ascii="Times New Roman" w:hAnsi="Times New Roman"/>
          <w:noProof/>
          <w:sz w:val="18"/>
          <w:szCs w:val="18"/>
          <w:lang w:bidi="ar-SA"/>
        </w:rPr>
        <w:t xml:space="preserve"> 22 August 202</w:t>
      </w:r>
      <w:r w:rsidR="00BA41B5">
        <w:rPr>
          <w:rFonts w:ascii="Times New Roman" w:hAnsi="Times New Roman"/>
          <w:noProof/>
          <w:sz w:val="18"/>
          <w:szCs w:val="18"/>
          <w:lang w:bidi="ar-SA"/>
        </w:rPr>
        <w:t>1</w:t>
      </w:r>
      <w:r>
        <w:rPr>
          <w:rFonts w:ascii="Times New Roman" w:hAnsi="Times New Roman"/>
          <w:noProof/>
          <w:sz w:val="18"/>
          <w:szCs w:val="18"/>
          <w:lang w:bidi="ar-SA"/>
        </w:rPr>
        <w:t>; Accepted:</w:t>
      </w:r>
      <w:r w:rsidR="007E6407">
        <w:rPr>
          <w:rFonts w:ascii="Times New Roman" w:hAnsi="Times New Roman"/>
          <w:noProof/>
          <w:sz w:val="18"/>
          <w:szCs w:val="18"/>
          <w:lang w:bidi="ar-SA"/>
        </w:rPr>
        <w:t xml:space="preserve"> 24 March 2022</w:t>
      </w:r>
      <w:r w:rsidR="00F82059">
        <w:rPr>
          <w:rFonts w:ascii="Times New Roman" w:hAnsi="Times New Roman"/>
          <w:noProof/>
          <w:sz w:val="18"/>
          <w:szCs w:val="18"/>
          <w:lang w:bidi="ar-SA"/>
        </w:rPr>
        <w:t xml:space="preserve">; </w:t>
      </w:r>
      <w:r w:rsidR="00F82059" w:rsidRPr="00714E7A">
        <w:rPr>
          <w:rFonts w:ascii="Times New Roman" w:hAnsi="Times New Roman"/>
          <w:noProof/>
          <w:sz w:val="18"/>
          <w:szCs w:val="18"/>
          <w:lang w:bidi="ar-SA"/>
        </w:rPr>
        <w:t>Published:</w:t>
      </w:r>
      <w:r w:rsidR="00714E7A">
        <w:rPr>
          <w:rFonts w:ascii="Times New Roman" w:hAnsi="Times New Roman"/>
          <w:noProof/>
          <w:sz w:val="18"/>
          <w:szCs w:val="18"/>
          <w:lang w:bidi="ar-SA"/>
        </w:rPr>
        <w:t xml:space="preserve"> </w:t>
      </w:r>
      <w:r w:rsidR="00846B19">
        <w:rPr>
          <w:rFonts w:ascii="Times New Roman" w:hAnsi="Times New Roman"/>
          <w:noProof/>
          <w:sz w:val="18"/>
          <w:szCs w:val="18"/>
          <w:lang w:bidi="ar-SA"/>
        </w:rPr>
        <w:t>27</w:t>
      </w:r>
      <w:r w:rsidR="00714E7A">
        <w:rPr>
          <w:rFonts w:ascii="Times New Roman" w:hAnsi="Times New Roman"/>
          <w:noProof/>
          <w:sz w:val="18"/>
          <w:szCs w:val="18"/>
          <w:lang w:bidi="ar-SA"/>
        </w:rPr>
        <w:t xml:space="preserve"> June 2022</w:t>
      </w:r>
      <w:r w:rsidR="00F82059">
        <w:rPr>
          <w:rFonts w:ascii="Times New Roman" w:hAnsi="Times New Roman"/>
          <w:noProof/>
          <w:sz w:val="18"/>
          <w:szCs w:val="18"/>
          <w:lang w:bidi="ar-SA"/>
        </w:rPr>
        <w:t xml:space="preserve">  </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4D53EBF0"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7569E7C3" w14:textId="63AF754D" w:rsidR="00E70486" w:rsidRPr="00E70486" w:rsidRDefault="00E70486" w:rsidP="00714E7A">
      <w:pPr>
        <w:spacing w:after="0"/>
        <w:jc w:val="both"/>
        <w:rPr>
          <w:rFonts w:ascii="Times New Roman" w:hAnsi="Times New Roman"/>
          <w:noProof/>
          <w:sz w:val="18"/>
          <w:szCs w:val="18"/>
          <w:lang w:bidi="ar-SA"/>
        </w:rPr>
      </w:pPr>
      <w:r w:rsidRPr="00E70486">
        <w:rPr>
          <w:rFonts w:ascii="Times New Roman" w:hAnsi="Times New Roman"/>
          <w:noProof/>
          <w:sz w:val="18"/>
          <w:szCs w:val="18"/>
          <w:lang w:bidi="ar-SA"/>
        </w:rPr>
        <w:t>In this study, the removal performance of bisphenol A (BPA) from synthetic wastewater using the forward osmosis method was compared between polyamide thin film composite membrane (PA -TFC) and polysulfone (PSf) membrane substrate. The thin-film composite membrane was prepared by using flat polysulfone (PSf) sheets as membrane substrate through in-situ interfacial polymerization technique. To generate the thin film surface on the PSf substrate, M-phenylenediamine (MPD) and 1,3,5-benzene trichloride (TMC) were utilized as monomers in aqueous and organic solutions, respectively. The BPA retention efficiency of the PSf and TFC membranes was examined and compared accordingly. The membranes were characterized by using atomic force microscopy (AFM), field emission scanning electron microscope (FESEM), Fourier transform infrared spectroscopy (FTIR), and contact angle analysis. The fabricated thin film on the PSf substrate membrane has enhanced its hydrophilicity which aids in wastewater treatment by increasing the membrane’s water flow rate. A synthetic BPA wastewater solution of 100 mgL-1 was prepared to evaluate the performance of the membrane. Based on the finding of this study, the PSf substrate and PA -TFC membrane yielded 25% and 91% of BPA removal from the feed solution, respectively.</w:t>
      </w:r>
    </w:p>
    <w:p w14:paraId="5D50361B" w14:textId="39EE1AFA" w:rsidR="006768E9" w:rsidRPr="00F447A7" w:rsidRDefault="006768E9" w:rsidP="00E70486">
      <w:pPr>
        <w:spacing w:after="0"/>
        <w:jc w:val="both"/>
        <w:rPr>
          <w:rFonts w:ascii="Times New Roman" w:hAnsi="Times New Roman"/>
          <w:noProof/>
          <w:sz w:val="18"/>
          <w:szCs w:val="18"/>
          <w:lang w:bidi="ar-SA"/>
        </w:rPr>
      </w:pPr>
    </w:p>
    <w:p w14:paraId="6938A0B8" w14:textId="48A88BA8" w:rsidR="006768E9" w:rsidRPr="00F447A7" w:rsidRDefault="006768E9" w:rsidP="002B412F">
      <w:pPr>
        <w:spacing w:after="0"/>
        <w:rPr>
          <w:rFonts w:ascii="Times New Roman" w:hAnsi="Times New Roman"/>
          <w:noProof/>
          <w:sz w:val="18"/>
          <w:szCs w:val="18"/>
          <w:lang w:bidi="ar-SA"/>
        </w:rPr>
      </w:pPr>
      <w:r w:rsidRPr="00F447A7">
        <w:rPr>
          <w:rFonts w:ascii="Times New Roman" w:hAnsi="Times New Roman"/>
          <w:b/>
          <w:noProof/>
          <w:sz w:val="18"/>
          <w:szCs w:val="18"/>
          <w:lang w:bidi="ar-SA"/>
        </w:rPr>
        <w:t>Keywords</w:t>
      </w:r>
      <w:r w:rsidRPr="00F447A7">
        <w:rPr>
          <w:rFonts w:ascii="Times New Roman" w:hAnsi="Times New Roman"/>
          <w:noProof/>
          <w:sz w:val="18"/>
          <w:szCs w:val="18"/>
          <w:lang w:bidi="ar-SA"/>
        </w:rPr>
        <w:t>:</w:t>
      </w:r>
      <w:r w:rsidR="00F447A7">
        <w:rPr>
          <w:rFonts w:ascii="Times New Roman" w:hAnsi="Times New Roman"/>
          <w:noProof/>
          <w:sz w:val="18"/>
          <w:szCs w:val="18"/>
          <w:lang w:bidi="ar-SA"/>
        </w:rPr>
        <w:t xml:space="preserve"> </w:t>
      </w:r>
      <w:r w:rsidR="00714E7A">
        <w:rPr>
          <w:rFonts w:ascii="Times New Roman" w:hAnsi="Times New Roman"/>
          <w:noProof/>
          <w:sz w:val="18"/>
          <w:szCs w:val="18"/>
          <w:lang w:bidi="ar-SA"/>
        </w:rPr>
        <w:t xml:space="preserve"> </w:t>
      </w:r>
      <w:r w:rsidR="00E70486" w:rsidRPr="00E70486">
        <w:rPr>
          <w:rFonts w:ascii="Times New Roman" w:hAnsi="Times New Roman"/>
          <w:noProof/>
          <w:sz w:val="18"/>
          <w:szCs w:val="18"/>
          <w:lang w:bidi="ar-SA"/>
        </w:rPr>
        <w:t>bisphenol-a, polyamide, thin-film composite membrane, forward osmosis</w:t>
      </w:r>
    </w:p>
    <w:p w14:paraId="3C7A96CC" w14:textId="77777777" w:rsidR="00DD377F" w:rsidRDefault="00DD377F" w:rsidP="002B412F">
      <w:pPr>
        <w:spacing w:after="0"/>
        <w:jc w:val="center"/>
        <w:rPr>
          <w:rFonts w:ascii="Times New Roman" w:hAnsi="Times New Roman"/>
          <w:b/>
          <w:noProof/>
          <w:sz w:val="18"/>
          <w:szCs w:val="18"/>
          <w:lang w:bidi="ar-SA"/>
        </w:rPr>
      </w:pPr>
    </w:p>
    <w:p w14:paraId="45F7F5C9" w14:textId="5A91C6F3"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14:paraId="549D0C84" w14:textId="4C326964" w:rsidR="006768E9" w:rsidRPr="00F447A7" w:rsidRDefault="00E70486" w:rsidP="002B412F">
      <w:pPr>
        <w:spacing w:after="0"/>
        <w:jc w:val="both"/>
        <w:rPr>
          <w:rFonts w:ascii="Times New Roman" w:hAnsi="Times New Roman"/>
          <w:noProof/>
          <w:sz w:val="18"/>
          <w:szCs w:val="18"/>
          <w:lang w:bidi="ar-SA"/>
        </w:rPr>
      </w:pPr>
      <w:r w:rsidRPr="00E70486">
        <w:rPr>
          <w:rFonts w:ascii="Times New Roman" w:hAnsi="Times New Roman"/>
          <w:noProof/>
          <w:sz w:val="18"/>
          <w:szCs w:val="18"/>
          <w:lang w:bidi="ar-SA"/>
        </w:rPr>
        <w:t>Dalam kajian ini, penyingkiran bisfenol A (BPA) dari air sisa sintetik disiasat menggunakan membran filem komposit nipis poliamida (PA -TFC) dan dibandingkan dengan substrat membran polisulfon (PSf) menggunakan proses osmosis hadapan. Membran TFC diperbuat melalui teknik pempolimeran dengan menggunakan permukaan PSf sebagai substrat membran. M-fenildiamina (MPD) dan 1,3,5-benzena triklorida (TMC) digunakan sebagai monomer dalam larutan berair dan organik untuk menghasilkan permukaan filem nipis pada substrat PSf. Penyingkiran BPA melalui membran PSf dan TFC disiasat dan dibandingkan. Setiap membran dicirikan dengan mikroskopi tekanan atom (AFM), mikroskopi imbasan elektron pancaran medan (FESEM), spektroskopi inframerah transformasi Fourier (FTIR) dan analisa sudut sentuhan. Lapisan filem nipis yang dihasilkan pada membran substrat PSf meningkatkan daya hidrofiliknya, yang membantu dalam rawatan air sisa dengan meningkatkan kadar pengeluaran air. 100 ppm larutan sisa air BPA sintetik disediakan untuk menguji prestasi membran. Dari data yang diperoleh dari kajian ini, substrat PSf dan membran PA -TFC menghasilkan 25% dan 91% penurasan BPA dari sisa tersebut.</w:t>
      </w:r>
    </w:p>
    <w:p w14:paraId="27F5FE65" w14:textId="77777777" w:rsidR="006768E9" w:rsidRPr="00F447A7" w:rsidRDefault="006768E9" w:rsidP="002B412F">
      <w:pPr>
        <w:spacing w:after="0"/>
        <w:jc w:val="center"/>
        <w:rPr>
          <w:rFonts w:ascii="Times New Roman" w:hAnsi="Times New Roman"/>
          <w:noProof/>
          <w:sz w:val="18"/>
          <w:szCs w:val="18"/>
          <w:lang w:bidi="ar-SA"/>
        </w:rPr>
      </w:pPr>
    </w:p>
    <w:p w14:paraId="261F220E" w14:textId="32D8F144" w:rsidR="00C844C6" w:rsidRDefault="006768E9" w:rsidP="00714E7A">
      <w:pPr>
        <w:spacing w:after="0"/>
        <w:outlineLvl w:val="0"/>
        <w:rPr>
          <w:rFonts w:ascii="Times New Roman" w:hAnsi="Times New Roman"/>
          <w:bCs/>
          <w:noProof/>
          <w:sz w:val="18"/>
          <w:szCs w:val="18"/>
        </w:rPr>
        <w:sectPr w:rsidR="00C844C6" w:rsidSect="007D517A">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r w:rsidRPr="00F447A7">
        <w:rPr>
          <w:rFonts w:ascii="Times New Roman" w:hAnsi="Times New Roman"/>
          <w:b/>
          <w:noProof/>
          <w:sz w:val="18"/>
          <w:szCs w:val="18"/>
          <w:lang w:bidi="ar-SA"/>
        </w:rPr>
        <w:t>Kata kunci</w:t>
      </w:r>
      <w:r w:rsidRPr="00F447A7">
        <w:rPr>
          <w:rFonts w:ascii="Times New Roman" w:hAnsi="Times New Roman"/>
          <w:noProof/>
          <w:sz w:val="18"/>
          <w:szCs w:val="18"/>
          <w:lang w:bidi="ar-SA"/>
        </w:rPr>
        <w:t>:</w:t>
      </w:r>
      <w:r w:rsidR="00714E7A">
        <w:rPr>
          <w:rFonts w:ascii="Times New Roman" w:hAnsi="Times New Roman"/>
          <w:noProof/>
          <w:sz w:val="18"/>
          <w:szCs w:val="18"/>
          <w:lang w:bidi="ar-SA"/>
        </w:rPr>
        <w:t xml:space="preserve">  </w:t>
      </w:r>
      <w:r w:rsidR="00E70486" w:rsidRPr="004E21B7">
        <w:rPr>
          <w:rFonts w:ascii="Times New Roman" w:hAnsi="Times New Roman"/>
          <w:bCs/>
          <w:noProof/>
          <w:sz w:val="18"/>
          <w:szCs w:val="18"/>
        </w:rPr>
        <w:t>bis</w:t>
      </w:r>
      <w:r w:rsidR="00E70486">
        <w:rPr>
          <w:rFonts w:ascii="Times New Roman" w:hAnsi="Times New Roman"/>
          <w:bCs/>
          <w:noProof/>
          <w:sz w:val="18"/>
          <w:szCs w:val="18"/>
        </w:rPr>
        <w:t xml:space="preserve">fenol </w:t>
      </w:r>
      <w:r w:rsidR="00E70486" w:rsidRPr="004E21B7">
        <w:rPr>
          <w:rFonts w:ascii="Times New Roman" w:hAnsi="Times New Roman"/>
          <w:bCs/>
          <w:noProof/>
          <w:sz w:val="18"/>
          <w:szCs w:val="18"/>
        </w:rPr>
        <w:t>a, poliamid</w:t>
      </w:r>
      <w:r w:rsidR="00E70486">
        <w:rPr>
          <w:rFonts w:ascii="Times New Roman" w:hAnsi="Times New Roman"/>
          <w:bCs/>
          <w:noProof/>
          <w:sz w:val="18"/>
          <w:szCs w:val="18"/>
        </w:rPr>
        <w:t>a</w:t>
      </w:r>
      <w:r w:rsidR="00E70486" w:rsidRPr="004E21B7">
        <w:rPr>
          <w:rFonts w:ascii="Times New Roman" w:hAnsi="Times New Roman"/>
          <w:bCs/>
          <w:noProof/>
          <w:sz w:val="18"/>
          <w:szCs w:val="18"/>
        </w:rPr>
        <w:t xml:space="preserve">, membran filem komposit nipis, </w:t>
      </w:r>
      <w:r w:rsidR="00E70486">
        <w:rPr>
          <w:rFonts w:ascii="Times New Roman" w:hAnsi="Times New Roman"/>
          <w:bCs/>
          <w:noProof/>
          <w:sz w:val="18"/>
          <w:szCs w:val="18"/>
        </w:rPr>
        <w:t>osmosis hadapan</w:t>
      </w:r>
    </w:p>
    <w:p w14:paraId="152BE962" w14:textId="50CEFE30" w:rsidR="006768E9" w:rsidRDefault="006956AB" w:rsidP="00714E7A">
      <w:pPr>
        <w:spacing w:after="0"/>
        <w:jc w:val="center"/>
        <w:outlineLvl w:val="0"/>
        <w:rPr>
          <w:rFonts w:ascii="Times New Roman" w:hAnsi="Times New Roman"/>
          <w:b/>
          <w:noProof/>
          <w:sz w:val="20"/>
          <w:szCs w:val="20"/>
          <w:lang w:bidi="ar-SA"/>
        </w:rPr>
      </w:pPr>
      <w:r>
        <w:rPr>
          <w:rFonts w:ascii="Times New Roman" w:hAnsi="Times New Roman"/>
          <w:bCs/>
          <w:noProof/>
          <w:sz w:val="18"/>
          <w:szCs w:val="18"/>
        </w:rPr>
        <w:br w:type="page"/>
      </w:r>
      <w:r w:rsidR="006768E9" w:rsidRPr="00F447A7">
        <w:rPr>
          <w:rFonts w:ascii="Times New Roman" w:hAnsi="Times New Roman"/>
          <w:b/>
          <w:noProof/>
          <w:sz w:val="20"/>
          <w:szCs w:val="20"/>
          <w:lang w:bidi="ar-SA"/>
        </w:rPr>
        <w:lastRenderedPageBreak/>
        <w:t>Introduction</w:t>
      </w:r>
    </w:p>
    <w:p w14:paraId="47840B0D"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eastAsia="SimSun" w:hAnsi="Times New Roman"/>
          <w:kern w:val="2"/>
          <w:sz w:val="20"/>
          <w:szCs w:val="20"/>
          <w:lang w:eastAsia="ko-KR" w:bidi="ar-SA"/>
        </w:rPr>
        <w:t xml:space="preserve">The rapid growth and development of modern industries have led to serious environmental issues nowadays. The threats posed by organic micropollutants especially pharmaceutically active and endocrine-disrupting compounds have been of great concern over the previous years. Numerous studies have been performed on investigating their removal mechanism from the wastewater [1]. These compounds are highly related to the effluents of industrial sectors such as pharmaceutical, plastic, dye and textiles, oil refineries, and petrochemical industries [2]. Industrial wastewater treatment plant (WWTP) effluent is an important source of these compounds, as these micropollutants are hardly removed by the conventional treatment processes [3, 4]. Thus, advanced membrane treatment of WWTP effluents to remove these pollutants could be an effective approach to reduce their presence in the ecosystem and thus contribute to mitigating the environmental risk. </w:t>
      </w:r>
    </w:p>
    <w:p w14:paraId="2FA8CE56"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7A008032"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eastAsia="SimSun" w:hAnsi="Times New Roman"/>
          <w:kern w:val="2"/>
          <w:sz w:val="20"/>
          <w:szCs w:val="20"/>
          <w:lang w:eastAsia="ko-KR" w:bidi="ar-SA"/>
        </w:rPr>
        <w:t xml:space="preserve">Bisphenol-A (BPA) is an endocrine disruptor that is commonly utilized in the manufacturing of polycarbonate, epoxy resins, dental composites, and medical equipment [5]. This organic pollutant has huge potential to cause serious health hazards to humans, wildlife, and the ecosystem even at low concentrations [6, 7]. Structurally, BPA consists of phenolic and hydroxyl groups in combination with an aromatic ring. BPA has a molecular weight of 228 g/mol and shows relatively low solubility in water with the range of 120-300mg/L at 25 </w:t>
      </w:r>
      <w:r w:rsidRPr="006956AB">
        <w:rPr>
          <w:rFonts w:ascii="Times New Roman" w:eastAsia="SimSun" w:hAnsi="Times New Roman"/>
          <w:kern w:val="2"/>
          <w:sz w:val="20"/>
          <w:szCs w:val="20"/>
          <w:vertAlign w:val="superscript"/>
          <w:lang w:eastAsia="ko-KR" w:bidi="ar-SA"/>
        </w:rPr>
        <w:t>o</w:t>
      </w:r>
      <w:r w:rsidRPr="006956AB">
        <w:rPr>
          <w:rFonts w:ascii="Times New Roman" w:eastAsia="SimSun" w:hAnsi="Times New Roman"/>
          <w:kern w:val="2"/>
          <w:sz w:val="20"/>
          <w:szCs w:val="20"/>
          <w:lang w:eastAsia="ko-KR" w:bidi="ar-SA"/>
        </w:rPr>
        <w:t xml:space="preserve">C [8]. However, its solubility increases if dissolved in polar organic solvents or aqueous solutions with alkaline concentrations. The total daily intake (TDI) of BPA has been regulated at 50µg/kg/day, while the oral reference dosage for BPA has been set at 100 µg/L as the maximum allowable concentration in drinking water according to the United States Environmental Protection Agency [9]. </w:t>
      </w:r>
    </w:p>
    <w:p w14:paraId="0042FEE5"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25394D11"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eastAsia="SimSun" w:hAnsi="Times New Roman"/>
          <w:kern w:val="2"/>
          <w:sz w:val="20"/>
          <w:szCs w:val="20"/>
          <w:lang w:eastAsia="ko-KR" w:bidi="ar-SA"/>
        </w:rPr>
        <w:t xml:space="preserve">BPA can cause adverse health effects because it is an endocrine disruptor that binds to receptors in living organisms [38]. BPA acts as a hormone receptor blocker for various hormones and interferes with their activity which leads to damage to the human body. For instance, it acts as an antiestrogen by competing with endogenous </w:t>
      </w:r>
      <w:r w:rsidRPr="006956AB">
        <w:rPr>
          <w:rFonts w:ascii="Times New Roman" w:eastAsia="SimSun" w:hAnsi="Times New Roman"/>
          <w:kern w:val="2"/>
          <w:sz w:val="20"/>
          <w:szCs w:val="20"/>
          <w:lang w:eastAsia="ko-KR" w:bidi="ar-SA"/>
        </w:rPr>
        <w:t>E and inhibiting its estrogenic response [10]. Previous laboratory studies reported that this compound may also bind directly to the sex hormone receptors (androgen receptors) and inhibit the activity of endogenous androgen [11]. These hormone-inhibiting effects may lead to fertility problems such as decreased sperm quality, polycystic ovary syndrome, and sex hormone concentrations. Increases in chronic diseases such as type 2 diabetes, obesity, cardiovascular disease, prostate, and breast cancer have been linked to early exposure to BPA [12]. In addition, there is a high probability that maternal exposure to BPA can cause postnatal abnormalities in DNA methylation status, disrupting the expression of some particular genes and the epigenetic programming of gene expression during child development [13]. Due to their widespread dispersion in the environment and continuous usage in industry, it is critical to develop new treatment techniques for their degradation, detoxification, and removal in wastewater effluents.</w:t>
      </w:r>
    </w:p>
    <w:p w14:paraId="224E4FA8"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3152B706"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eastAsia="SimSun" w:hAnsi="Times New Roman"/>
          <w:kern w:val="2"/>
          <w:sz w:val="20"/>
          <w:szCs w:val="20"/>
          <w:lang w:eastAsia="ko-KR" w:bidi="ar-SA"/>
        </w:rPr>
        <w:t xml:space="preserve">Concentrative processes such as absorption, ozonation, and Fenton have effectively removed the major microbial contaminants and chemicals from wastewater treatment facilities. However, the application of these techniques for the removal of endocrine disruptors is restricted [14, 15, 16]. In addition, due to stringent water quality requirements, it is becoming increasingly important to remove BPA from water sources, even if it presents in extremely low concentrations. </w:t>
      </w:r>
      <w:r w:rsidRPr="006956AB">
        <w:rPr>
          <w:rFonts w:ascii="Times New Roman" w:hAnsi="Times New Roman"/>
          <w:kern w:val="2"/>
          <w:sz w:val="20"/>
          <w:szCs w:val="20"/>
          <w:lang w:val="en-MY" w:eastAsia="ko-KR" w:bidi="ar-SA"/>
        </w:rPr>
        <w:t xml:space="preserve">Pressure-driven membrane separation methods such as reverse osmosis (RO), nanofiltration (NF), ultrafiltration (UF), and microfiltration (MF) in pore sizes ascending order, have been demonstrated to be effective in removing BPA from wastewater and producing high-quality water from WWTP secondary effluent [17]. According to </w:t>
      </w:r>
      <w:r w:rsidRPr="006956AB">
        <w:rPr>
          <w:rFonts w:ascii="Times New Roman" w:eastAsia="SimSun" w:hAnsi="Times New Roman"/>
          <w:kern w:val="2"/>
          <w:sz w:val="20"/>
          <w:szCs w:val="20"/>
          <w:lang w:eastAsia="ko-KR" w:bidi="ar-SA"/>
        </w:rPr>
        <w:t>Schrotter et al., membrane technology has been utilized to treat approximately 60 million m</w:t>
      </w:r>
      <w:r w:rsidRPr="006956AB">
        <w:rPr>
          <w:rFonts w:ascii="Times New Roman" w:eastAsia="SimSun" w:hAnsi="Times New Roman"/>
          <w:kern w:val="2"/>
          <w:sz w:val="20"/>
          <w:szCs w:val="20"/>
          <w:vertAlign w:val="superscript"/>
          <w:lang w:eastAsia="ko-KR" w:bidi="ar-SA"/>
        </w:rPr>
        <w:t>3</w:t>
      </w:r>
      <w:r w:rsidRPr="006956AB">
        <w:rPr>
          <w:rFonts w:ascii="Times New Roman" w:eastAsia="SimSun" w:hAnsi="Times New Roman"/>
          <w:kern w:val="2"/>
          <w:sz w:val="20"/>
          <w:szCs w:val="20"/>
          <w:lang w:eastAsia="ko-KR" w:bidi="ar-SA"/>
        </w:rPr>
        <w:t xml:space="preserve"> of water per day, with RO being the most widely used membrane process for wastewater treatment. Meanwhile, microfiltration and ultrafiltration have a combined average capacity of 20 million m</w:t>
      </w:r>
      <w:r w:rsidRPr="006956AB">
        <w:rPr>
          <w:rFonts w:ascii="Times New Roman" w:eastAsia="SimSun" w:hAnsi="Times New Roman"/>
          <w:kern w:val="2"/>
          <w:sz w:val="20"/>
          <w:szCs w:val="20"/>
          <w:vertAlign w:val="superscript"/>
          <w:lang w:eastAsia="ko-KR" w:bidi="ar-SA"/>
        </w:rPr>
        <w:t>3</w:t>
      </w:r>
      <w:r w:rsidRPr="006956AB">
        <w:rPr>
          <w:rFonts w:ascii="Times New Roman" w:eastAsia="SimSun" w:hAnsi="Times New Roman"/>
          <w:kern w:val="2"/>
          <w:sz w:val="20"/>
          <w:szCs w:val="20"/>
          <w:lang w:eastAsia="ko-KR" w:bidi="ar-SA"/>
        </w:rPr>
        <w:t xml:space="preserve"> per day, accounting for 60% of total drinking water production [17].</w:t>
      </w:r>
    </w:p>
    <w:p w14:paraId="4D443699"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4CEF681E"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hAnsi="Times New Roman"/>
          <w:kern w:val="2"/>
          <w:sz w:val="20"/>
          <w:szCs w:val="20"/>
          <w:lang w:val="en-MY" w:eastAsia="ko-KR" w:bidi="ar-SA"/>
        </w:rPr>
        <w:t xml:space="preserve">Unlike chemical oxidation and biodegradation, membrane filtration does not utilize chemicals or </w:t>
      </w:r>
      <w:r w:rsidRPr="006956AB">
        <w:rPr>
          <w:rFonts w:ascii="Times New Roman" w:hAnsi="Times New Roman"/>
          <w:kern w:val="2"/>
          <w:sz w:val="20"/>
          <w:szCs w:val="20"/>
          <w:lang w:val="en-MY" w:eastAsia="ko-KR" w:bidi="ar-SA"/>
        </w:rPr>
        <w:lastRenderedPageBreak/>
        <w:t>generate by-products/new metabolites, making it more suitable for treating drinking water due to its environmentally friendly’s characteristic [17]. The membrane process uses a variety of mechanisms to remove micropollutants from wastewater. For example, BPA removal in NF and RO is performed by sieving and electrostatic interactions, while the removal mechanism in MF and UF is generally based on the adsorption process [18, 19]. When compared to traditional techniques, the employment of membrane separation processes has numerous advantages: low energy cost, easy operational control, no use of chemicals, and compact structure with possible material recovery [20].</w:t>
      </w:r>
    </w:p>
    <w:p w14:paraId="177A2D41"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4526CEBC"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hAnsi="Times New Roman"/>
          <w:kern w:val="2"/>
          <w:sz w:val="20"/>
          <w:szCs w:val="20"/>
          <w:lang w:val="en-MY" w:eastAsia="ko-KR" w:bidi="ar-SA"/>
        </w:rPr>
        <w:t xml:space="preserve">Zhao et al. examined the removal of BPA using a commercial UF hollow fibre membrane at a dosage of 1000 </w:t>
      </w:r>
      <w:r w:rsidRPr="006956AB">
        <w:rPr>
          <w:rFonts w:ascii="Times New Roman" w:eastAsia="SimSun" w:hAnsi="Times New Roman"/>
          <w:kern w:val="2"/>
          <w:sz w:val="20"/>
          <w:szCs w:val="20"/>
          <w:lang w:eastAsia="ko-KR" w:bidi="ar-SA"/>
        </w:rPr>
        <w:t>µ</w:t>
      </w:r>
      <w:r w:rsidRPr="006956AB">
        <w:rPr>
          <w:rFonts w:ascii="Times New Roman" w:hAnsi="Times New Roman"/>
          <w:kern w:val="2"/>
          <w:sz w:val="20"/>
          <w:szCs w:val="20"/>
          <w:lang w:val="en-MY" w:eastAsia="ko-KR" w:bidi="ar-SA"/>
        </w:rPr>
        <w:t xml:space="preserve">g/L. Due to the large pore size of the UF membrane (0.04 microns), the BPA removal efficiency was found to be &lt; 5%. The removal approach applied the adsorption mechanism of the membrane rather than the size exclusion technique [21]. The UF-Koch membrane was tested for the removal performance of BPA at the concentration of 1µM. This membrane showed significant retention efficiency of BPA (&gt; 40%), which was attributed to the adsorption process on the membrane surface [22]. Bing-Zhi et al. [2010] investigated the removal of BPA from wastewater using a commercial MF membrane. They found that this membrane showed poor BPA retention performance, with the removal rate decreasing from 95% to 20% at the end of the filtration process as the membrane got saturated with BPA [23]. </w:t>
      </w:r>
    </w:p>
    <w:p w14:paraId="7CD5DE01"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33B2D928"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r w:rsidRPr="006956AB">
        <w:rPr>
          <w:rFonts w:ascii="Times New Roman" w:hAnsi="Times New Roman"/>
          <w:kern w:val="2"/>
          <w:sz w:val="20"/>
          <w:szCs w:val="20"/>
          <w:lang w:val="en-MY" w:eastAsia="ko-KR" w:bidi="ar-SA"/>
        </w:rPr>
        <w:t xml:space="preserve">Yuskel et al. observed that the RO and NF membranes performed well when tested for removing BPA from synthetic wastewater at a concentration of 50 mg/L with an operating pressure of 10 bar. The NF membranes made of compressed and loose polyamide were used in the experiment. A polyamide and cellulose acetate RO membrane was also tested. The dense RO and NF membranes demonstrated excellent BPA removal (&gt; 98%), while the loose NF membrane demonstrated much lower rejection (80%), and the cellulose acetate RO membrane demonstrated low rejection of BPA of 10-40%, which was attributed to BPA adsorption on the membrane surface [24]. These technologies, however, </w:t>
      </w:r>
      <w:r w:rsidRPr="006956AB">
        <w:rPr>
          <w:rFonts w:ascii="Times New Roman" w:hAnsi="Times New Roman"/>
          <w:kern w:val="2"/>
          <w:sz w:val="20"/>
          <w:szCs w:val="20"/>
          <w:lang w:val="en-MY" w:eastAsia="ko-KR" w:bidi="ar-SA"/>
        </w:rPr>
        <w:t>fall short because they are particularly susceptible to membrane fouling, have large pore sizes (MF and UF), and rely on high pressure to work [17].</w:t>
      </w:r>
    </w:p>
    <w:p w14:paraId="6F4192B1" w14:textId="77777777" w:rsidR="006956AB" w:rsidRPr="006956AB"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pPr>
    </w:p>
    <w:p w14:paraId="41A59539" w14:textId="77777777" w:rsidR="006956AB" w:rsidRPr="006956AB" w:rsidRDefault="006956AB" w:rsidP="00714E7A">
      <w:pPr>
        <w:widowControl w:val="0"/>
        <w:wordWrap w:val="0"/>
        <w:autoSpaceDE w:val="0"/>
        <w:autoSpaceDN w:val="0"/>
        <w:spacing w:after="0"/>
        <w:jc w:val="both"/>
        <w:rPr>
          <w:rFonts w:ascii="Times New Roman" w:hAnsi="Times New Roman"/>
          <w:kern w:val="2"/>
          <w:sz w:val="20"/>
          <w:szCs w:val="20"/>
          <w:lang w:val="en-MY" w:eastAsia="ko-KR" w:bidi="ar-SA"/>
        </w:rPr>
      </w:pPr>
      <w:r w:rsidRPr="006956AB">
        <w:rPr>
          <w:rFonts w:ascii="Times New Roman" w:hAnsi="Times New Roman"/>
          <w:kern w:val="2"/>
          <w:sz w:val="20"/>
          <w:szCs w:val="20"/>
          <w:lang w:val="en-MY" w:eastAsia="ko-KR" w:bidi="ar-SA"/>
        </w:rPr>
        <w:t>Forward osmosis (FO) is an alternative membrane filtration process that has been utilized in recent decades for desalination, wastewater treatment, and production of high-quality water. The FO method uses the osmotic differential pressure between the draw and feed solutions to reject the trace organic pollutants. [25]. This process has a great advantage over the conventional membrane filtration process as it does not require the application of hydraulic pressure to operate, and fouling propensity is minimal due to the generation of osmotic pressure from the concentrated draw solution [26]. Even when fouling occurs, it can easily be reversed and controlled via chemical, physical, or physiochemical cleanings unlike the RO and NF methods [27, 28].</w:t>
      </w:r>
    </w:p>
    <w:p w14:paraId="085A8E8B" w14:textId="77777777" w:rsidR="006956AB" w:rsidRPr="006956AB" w:rsidRDefault="006956AB" w:rsidP="00714E7A">
      <w:pPr>
        <w:widowControl w:val="0"/>
        <w:wordWrap w:val="0"/>
        <w:autoSpaceDE w:val="0"/>
        <w:autoSpaceDN w:val="0"/>
        <w:spacing w:after="0"/>
        <w:jc w:val="both"/>
        <w:rPr>
          <w:rFonts w:ascii="Times New Roman" w:hAnsi="Times New Roman"/>
          <w:kern w:val="2"/>
          <w:sz w:val="20"/>
          <w:szCs w:val="20"/>
          <w:lang w:val="en-MY" w:eastAsia="ko-KR" w:bidi="ar-SA"/>
        </w:rPr>
      </w:pPr>
    </w:p>
    <w:p w14:paraId="32C036FD" w14:textId="77777777" w:rsidR="008430FA" w:rsidRDefault="006956AB" w:rsidP="00714E7A">
      <w:pPr>
        <w:widowControl w:val="0"/>
        <w:wordWrap w:val="0"/>
        <w:autoSpaceDE w:val="0"/>
        <w:autoSpaceDN w:val="0"/>
        <w:spacing w:after="0"/>
        <w:jc w:val="both"/>
        <w:rPr>
          <w:rFonts w:ascii="Times New Roman" w:eastAsia="SimSun" w:hAnsi="Times New Roman"/>
          <w:kern w:val="2"/>
          <w:sz w:val="20"/>
          <w:szCs w:val="20"/>
          <w:lang w:eastAsia="ko-KR" w:bidi="ar-SA"/>
        </w:rPr>
        <w:sectPr w:rsidR="008430FA" w:rsidSect="006956AB">
          <w:footerReference w:type="even" r:id="rId13"/>
          <w:footerReference w:type="default" r:id="rId14"/>
          <w:type w:val="continuous"/>
          <w:pgSz w:w="12240" w:h="15840" w:code="1"/>
          <w:pgMar w:top="1800" w:right="1469" w:bottom="1699" w:left="1440" w:header="706" w:footer="706" w:gutter="0"/>
          <w:pgNumType w:start="1"/>
          <w:cols w:num="2" w:space="403"/>
          <w:docGrid w:linePitch="360"/>
        </w:sectPr>
      </w:pPr>
      <w:r w:rsidRPr="006956AB">
        <w:rPr>
          <w:rFonts w:ascii="Times New Roman" w:eastAsia="SimSun" w:hAnsi="Times New Roman"/>
          <w:kern w:val="2"/>
          <w:sz w:val="20"/>
          <w:szCs w:val="20"/>
          <w:lang w:eastAsia="ko-KR" w:bidi="ar-SA"/>
        </w:rPr>
        <w:t>Presently, there have been advancements in the type of membranes fabricated using interfacial polymerization (IP) that can be used with the forward osmosis process, such as the thin film composite and thin film nano-composite membranes. these membranes are controlled by the osmotic pressure of water and are usually utilized in the wastewater separation and desalination processes in pharmaceuticals and chemical industries [29]. TFC membranes are believed to be a viable method for eliminating tiny organic contaminants such as BPA from industrial and pharmaceutical effluents since they are modified to have smaller pore sizes as compared to RO, NF, and UF membranes. Nowadays, TFC membranes made from modifying a thin-film layer of aromatic polyamide on a porous membrane substrate are employed in wastewater treatment operations [30, 31].  The greater retention of feed solution components, along with an increase in permeate flow has led to their widespread adoption. TFC membranes can remove heavy metals, organic micropollutants such as pharmaceuticals, endocrine disruptors, and pesticides from wastewater [17]. In general, polyamide membranes have been reported in the literature that they performed better than cellulose acetate-based membranes in rejecting organic micropollutants. This is because they have lower pressure requirements and operate under more flexible settings [32].</w:t>
      </w:r>
    </w:p>
    <w:p w14:paraId="50A51530" w14:textId="71EF059B" w:rsidR="006768E9" w:rsidRPr="00714E7A" w:rsidRDefault="006956AB" w:rsidP="00714E7A">
      <w:pPr>
        <w:widowControl w:val="0"/>
        <w:wordWrap w:val="0"/>
        <w:autoSpaceDE w:val="0"/>
        <w:autoSpaceDN w:val="0"/>
        <w:spacing w:after="0"/>
        <w:jc w:val="both"/>
        <w:rPr>
          <w:rFonts w:ascii="Times New Roman" w:hAnsi="Times New Roman"/>
          <w:b/>
          <w:noProof/>
          <w:szCs w:val="20"/>
        </w:rPr>
      </w:pPr>
      <w:r w:rsidRPr="006956AB">
        <w:rPr>
          <w:rFonts w:ascii="Times New Roman" w:eastAsia="SimSun" w:hAnsi="Times New Roman"/>
          <w:kern w:val="2"/>
          <w:sz w:val="20"/>
          <w:szCs w:val="20"/>
          <w:lang w:eastAsia="ko-KR" w:bidi="ar-SA"/>
        </w:rPr>
        <w:lastRenderedPageBreak/>
        <w:t>Thus, the goal of this study is to determine if employing a thin-film composite membrane to remove BPA from pharmaceutical effluent is more feasible and efficient than using conventional polysulfone substrates. The interfacial polymerization method was used to fabricate the TFC membrane on the polysulfone membrane substrate layer. Both membranes’ efficiency in removing BPA from the synthetic wastewater was compared in this study.</w:t>
      </w:r>
    </w:p>
    <w:p w14:paraId="682AC24E" w14:textId="77777777" w:rsidR="006768E9" w:rsidRPr="00F447A7" w:rsidRDefault="006768E9" w:rsidP="00FD1278">
      <w:pPr>
        <w:spacing w:after="0"/>
        <w:jc w:val="center"/>
        <w:rPr>
          <w:rFonts w:ascii="Times New Roman" w:hAnsi="Times New Roman"/>
          <w:noProof/>
          <w:sz w:val="20"/>
          <w:szCs w:val="20"/>
          <w:lang w:bidi="ar-SA"/>
        </w:rPr>
      </w:pPr>
    </w:p>
    <w:p w14:paraId="4B6D0B71" w14:textId="7DE3147E" w:rsidR="006768E9" w:rsidRPr="00FD1278" w:rsidRDefault="006768E9" w:rsidP="00FD1278">
      <w:pPr>
        <w:spacing w:after="0"/>
        <w:jc w:val="center"/>
        <w:rPr>
          <w:rFonts w:ascii="Times New Roman" w:hAnsi="Times New Roman"/>
          <w:b/>
          <w:noProof/>
          <w:sz w:val="20"/>
          <w:szCs w:val="20"/>
          <w:lang w:bidi="ar-SA"/>
        </w:rPr>
      </w:pPr>
      <w:r w:rsidRPr="00FD1278">
        <w:rPr>
          <w:rFonts w:ascii="Times New Roman" w:hAnsi="Times New Roman"/>
          <w:b/>
          <w:noProof/>
          <w:sz w:val="20"/>
          <w:szCs w:val="20"/>
          <w:lang w:bidi="ar-SA"/>
        </w:rPr>
        <w:t>Materials and Methods</w:t>
      </w:r>
    </w:p>
    <w:p w14:paraId="015BBAEF" w14:textId="77777777" w:rsidR="00C844C6" w:rsidRPr="00FD1278" w:rsidRDefault="00C844C6" w:rsidP="00FD1278">
      <w:pPr>
        <w:widowControl w:val="0"/>
        <w:autoSpaceDE w:val="0"/>
        <w:autoSpaceDN w:val="0"/>
        <w:spacing w:after="0"/>
        <w:jc w:val="both"/>
        <w:outlineLvl w:val="0"/>
        <w:rPr>
          <w:rFonts w:ascii="Times New Roman" w:eastAsia="SimSun" w:hAnsi="Times New Roman"/>
          <w:kern w:val="2"/>
          <w:sz w:val="20"/>
          <w:lang w:eastAsia="ko-KR" w:bidi="ar-SA"/>
        </w:rPr>
      </w:pPr>
      <w:r w:rsidRPr="00FD1278">
        <w:rPr>
          <w:rFonts w:ascii="Times New Roman" w:eastAsia="SimSun" w:hAnsi="Times New Roman"/>
          <w:b/>
          <w:bCs/>
          <w:kern w:val="2"/>
          <w:sz w:val="20"/>
          <w:lang w:eastAsia="ko-KR" w:bidi="ar-SA"/>
        </w:rPr>
        <w:t>Materials and reagents</w:t>
      </w:r>
      <w:r w:rsidRPr="00FD1278">
        <w:rPr>
          <w:rFonts w:ascii="Times New Roman" w:eastAsia="SimSun" w:hAnsi="Times New Roman"/>
          <w:kern w:val="2"/>
          <w:sz w:val="20"/>
          <w:lang w:eastAsia="ko-KR" w:bidi="ar-SA"/>
        </w:rPr>
        <w:t> </w:t>
      </w:r>
    </w:p>
    <w:p w14:paraId="371F0644" w14:textId="77777777" w:rsidR="00C844C6" w:rsidRPr="00FD1278" w:rsidRDefault="00C844C6" w:rsidP="00FD1278">
      <w:pPr>
        <w:widowControl w:val="0"/>
        <w:autoSpaceDE w:val="0"/>
        <w:autoSpaceDN w:val="0"/>
        <w:spacing w:after="0"/>
        <w:jc w:val="both"/>
        <w:outlineLvl w:val="0"/>
        <w:rPr>
          <w:rFonts w:ascii="Times New Roman" w:eastAsia="SimSun" w:hAnsi="Times New Roman"/>
          <w:kern w:val="2"/>
          <w:sz w:val="20"/>
          <w:lang w:eastAsia="ko-KR" w:bidi="ar-SA"/>
        </w:rPr>
      </w:pPr>
      <w:r w:rsidRPr="00FD1278">
        <w:rPr>
          <w:rFonts w:ascii="Times New Roman" w:eastAsia="SimSun" w:hAnsi="Times New Roman"/>
          <w:kern w:val="2"/>
          <w:sz w:val="20"/>
          <w:lang w:eastAsia="ko-KR" w:bidi="ar-SA"/>
        </w:rPr>
        <w:t>Bisphenol A (BPA), polysulfone (PSf), polyvinylpyrrolidone (PVP), N-methyl-2-pyrrolidinone (NMP), M-phenylenediamine (MPD), 1,3,5-benzenecarbon trichloride (TMC) were procured from Sigma Aldrich Chemicals Company. These materials were all of the analytical grades and were used exactly as they were received. All of the experiments were conducted using distilled water.</w:t>
      </w:r>
    </w:p>
    <w:p w14:paraId="3C403552" w14:textId="77777777" w:rsidR="00C844C6" w:rsidRPr="00FD1278" w:rsidRDefault="00C844C6" w:rsidP="00FD1278">
      <w:pPr>
        <w:widowControl w:val="0"/>
        <w:autoSpaceDE w:val="0"/>
        <w:autoSpaceDN w:val="0"/>
        <w:spacing w:after="0"/>
        <w:jc w:val="both"/>
        <w:outlineLvl w:val="0"/>
        <w:rPr>
          <w:rFonts w:ascii="Times New Roman" w:eastAsia="SimSun" w:hAnsi="Times New Roman"/>
          <w:kern w:val="2"/>
          <w:sz w:val="20"/>
          <w:lang w:eastAsia="ko-KR" w:bidi="ar-SA"/>
        </w:rPr>
      </w:pPr>
    </w:p>
    <w:p w14:paraId="064A6F32" w14:textId="77777777" w:rsidR="00C844C6" w:rsidRPr="00FD1278" w:rsidRDefault="00C844C6" w:rsidP="00FD1278">
      <w:pPr>
        <w:widowControl w:val="0"/>
        <w:autoSpaceDE w:val="0"/>
        <w:autoSpaceDN w:val="0"/>
        <w:spacing w:after="0"/>
        <w:jc w:val="both"/>
        <w:outlineLvl w:val="0"/>
        <w:rPr>
          <w:rFonts w:ascii="Times New Roman" w:eastAsia="SimSun" w:hAnsi="Times New Roman"/>
          <w:b/>
          <w:bCs/>
          <w:kern w:val="2"/>
          <w:sz w:val="20"/>
          <w:szCs w:val="20"/>
          <w:lang w:eastAsia="ko-KR" w:bidi="ar-SA"/>
        </w:rPr>
      </w:pPr>
      <w:r w:rsidRPr="00FD1278">
        <w:rPr>
          <w:rFonts w:ascii="Times New Roman" w:eastAsia="SimSun" w:hAnsi="Times New Roman"/>
          <w:b/>
          <w:bCs/>
          <w:kern w:val="2"/>
          <w:sz w:val="20"/>
          <w:szCs w:val="20"/>
          <w:lang w:eastAsia="ko-KR" w:bidi="ar-SA"/>
        </w:rPr>
        <w:t>Forward osmosis membrane fabrication: Membrane substrate preparation (Psf substrate)</w:t>
      </w:r>
    </w:p>
    <w:p w14:paraId="709893EC" w14:textId="77777777" w:rsidR="00C844C6" w:rsidRPr="00FD1278" w:rsidRDefault="00C844C6" w:rsidP="00FD1278">
      <w:pPr>
        <w:widowControl w:val="0"/>
        <w:autoSpaceDE w:val="0"/>
        <w:autoSpaceDN w:val="0"/>
        <w:spacing w:after="0"/>
        <w:jc w:val="both"/>
        <w:outlineLvl w:val="0"/>
        <w:rPr>
          <w:rFonts w:ascii="Times New Roman" w:eastAsia="SimSun" w:hAnsi="Times New Roman"/>
          <w:bCs/>
          <w:kern w:val="2"/>
          <w:sz w:val="20"/>
          <w:szCs w:val="20"/>
          <w:lang w:eastAsia="ko-KR" w:bidi="ar-SA"/>
        </w:rPr>
      </w:pPr>
      <w:r w:rsidRPr="00FD1278">
        <w:rPr>
          <w:rFonts w:ascii="Times New Roman" w:eastAsia="SimSun" w:hAnsi="Times New Roman"/>
          <w:bCs/>
          <w:kern w:val="2"/>
          <w:sz w:val="20"/>
          <w:szCs w:val="20"/>
          <w:lang w:eastAsia="ko-KR" w:bidi="ar-SA"/>
        </w:rPr>
        <w:t xml:space="preserve">The wet phase inversion method was used to prepare the PSf membrane substrate. Firstly, a dope solution with the composition of PSf/NMP/PVP (wt.%) = (15/82/3) </w:t>
      </w:r>
      <w:r w:rsidRPr="00FD1278">
        <w:rPr>
          <w:rFonts w:ascii="Times New Roman" w:eastAsia="SimSun" w:hAnsi="Times New Roman"/>
          <w:bCs/>
          <w:kern w:val="2"/>
          <w:sz w:val="20"/>
          <w:szCs w:val="20"/>
          <w:lang w:eastAsia="ko-KR" w:bidi="ar-SA"/>
        </w:rPr>
        <w:t>was prepared. The NMP was then dissolved in PSf pellets, and PVP was added as an additive to increase the porosity of the membrane substrate. The casting solution was continuously stirred until the polysulfone pellets were completely dissolved in the solution. The dock solution was then poured on the glass surface with a 200µm casting rod. The casted membrane on the glass surface was instantly submerged in a water bath for the wet phase inversion. The generated PSf support membrane was kept in distilled water before use.</w:t>
      </w:r>
    </w:p>
    <w:p w14:paraId="286FBEDF" w14:textId="77777777" w:rsidR="00C844C6" w:rsidRPr="00FD1278" w:rsidRDefault="00C844C6" w:rsidP="00FD1278">
      <w:pPr>
        <w:widowControl w:val="0"/>
        <w:autoSpaceDE w:val="0"/>
        <w:autoSpaceDN w:val="0"/>
        <w:spacing w:after="0"/>
        <w:jc w:val="both"/>
        <w:outlineLvl w:val="0"/>
        <w:rPr>
          <w:rFonts w:ascii="Times New Roman" w:eastAsia="SimSun" w:hAnsi="Times New Roman"/>
          <w:bCs/>
          <w:kern w:val="2"/>
          <w:sz w:val="20"/>
          <w:szCs w:val="20"/>
          <w:lang w:eastAsia="ko-KR" w:bidi="ar-SA"/>
        </w:rPr>
      </w:pPr>
    </w:p>
    <w:p w14:paraId="61FA277C" w14:textId="77777777" w:rsidR="00C844C6" w:rsidRPr="00FD1278" w:rsidRDefault="00C844C6" w:rsidP="00FD1278">
      <w:pPr>
        <w:widowControl w:val="0"/>
        <w:autoSpaceDE w:val="0"/>
        <w:autoSpaceDN w:val="0"/>
        <w:spacing w:after="0"/>
        <w:jc w:val="both"/>
        <w:outlineLvl w:val="0"/>
        <w:rPr>
          <w:rFonts w:ascii="Times New Roman" w:eastAsia="SimSun" w:hAnsi="Times New Roman"/>
          <w:b/>
          <w:bCs/>
          <w:kern w:val="2"/>
          <w:sz w:val="20"/>
          <w:szCs w:val="20"/>
          <w:lang w:eastAsia="ko-KR" w:bidi="ar-SA"/>
        </w:rPr>
      </w:pPr>
      <w:r w:rsidRPr="00FD1278">
        <w:rPr>
          <w:rFonts w:ascii="Times New Roman" w:eastAsia="SimSun" w:hAnsi="Times New Roman"/>
          <w:b/>
          <w:bCs/>
          <w:kern w:val="2"/>
          <w:sz w:val="20"/>
          <w:szCs w:val="20"/>
          <w:lang w:eastAsia="ko-KR" w:bidi="ar-SA"/>
        </w:rPr>
        <w:t>Thin-film composite membrane fabrication</w:t>
      </w:r>
    </w:p>
    <w:p w14:paraId="54C99BE8" w14:textId="07035722" w:rsidR="00C844C6" w:rsidRDefault="00C844C6" w:rsidP="00FD1278">
      <w:pPr>
        <w:widowControl w:val="0"/>
        <w:autoSpaceDE w:val="0"/>
        <w:autoSpaceDN w:val="0"/>
        <w:spacing w:after="0"/>
        <w:jc w:val="both"/>
        <w:outlineLvl w:val="0"/>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 xml:space="preserve">The thin-film polyamide layer was fabricated by using the interfacial polymerization method as shown in </w:t>
      </w:r>
      <w:r w:rsidRPr="00E32ED9">
        <w:rPr>
          <w:rFonts w:ascii="Times New Roman" w:eastAsia="SimSun" w:hAnsi="Times New Roman"/>
          <w:kern w:val="2"/>
          <w:sz w:val="20"/>
          <w:szCs w:val="20"/>
          <w:lang w:eastAsia="ko-KR" w:bidi="ar-SA"/>
        </w:rPr>
        <w:t xml:space="preserve">Figure 1. </w:t>
      </w:r>
      <w:r w:rsidRPr="00FD1278">
        <w:rPr>
          <w:rFonts w:ascii="Times New Roman" w:eastAsia="SimSun" w:hAnsi="Times New Roman"/>
          <w:kern w:val="2"/>
          <w:sz w:val="20"/>
          <w:szCs w:val="20"/>
          <w:lang w:eastAsia="ko-KR" w:bidi="ar-SA"/>
        </w:rPr>
        <w:t>Two solutions were prepared: an aqueous solution comprising of 2 wt.% MPD in distilled water and an organic solution comprising of 0.05 wt.% TMC dissolved in heptane. The PSf membrane substrate was immersed in the MPD solution for 3 minutes. After that, a thin-film polyamide layer was formed by carefully pouring the TMC solution on top of the membrane for 3 minutes. The generated Polyamide Thin-Film Composite (PA-TFC) membranes were stored in distilled water and kept at room temperature before use.</w:t>
      </w:r>
    </w:p>
    <w:p w14:paraId="26326974" w14:textId="77777777" w:rsidR="00FD1278" w:rsidRPr="00FD1278" w:rsidRDefault="00FD1278" w:rsidP="00FD1278">
      <w:pPr>
        <w:widowControl w:val="0"/>
        <w:autoSpaceDE w:val="0"/>
        <w:autoSpaceDN w:val="0"/>
        <w:spacing w:after="0"/>
        <w:jc w:val="both"/>
        <w:outlineLvl w:val="0"/>
        <w:rPr>
          <w:rFonts w:ascii="Times New Roman" w:eastAsia="SimSun" w:hAnsi="Times New Roman"/>
          <w:bCs/>
          <w:kern w:val="2"/>
          <w:sz w:val="20"/>
          <w:szCs w:val="20"/>
          <w:lang w:eastAsia="ko-KR" w:bidi="ar-SA"/>
        </w:rPr>
      </w:pPr>
    </w:p>
    <w:p w14:paraId="24B23A1F" w14:textId="77777777" w:rsidR="009B143A" w:rsidRDefault="009B143A" w:rsidP="00FD1278">
      <w:pPr>
        <w:widowControl w:val="0"/>
        <w:autoSpaceDE w:val="0"/>
        <w:autoSpaceDN w:val="0"/>
        <w:spacing w:after="0"/>
        <w:jc w:val="both"/>
        <w:outlineLvl w:val="0"/>
        <w:rPr>
          <w:rFonts w:ascii="Times New Roman" w:eastAsia="SimSun" w:hAnsi="Times New Roman"/>
          <w:b/>
          <w:bCs/>
          <w:kern w:val="2"/>
          <w:sz w:val="20"/>
          <w:szCs w:val="20"/>
          <w:lang w:eastAsia="ko-KR" w:bidi="ar-SA"/>
        </w:rPr>
        <w:sectPr w:rsidR="009B143A" w:rsidSect="008430FA">
          <w:footerReference w:type="even" r:id="rId15"/>
          <w:type w:val="evenPage"/>
          <w:pgSz w:w="12240" w:h="15840" w:code="1"/>
          <w:pgMar w:top="1800" w:right="1469" w:bottom="1699" w:left="1440" w:header="706" w:footer="706" w:gutter="0"/>
          <w:pgNumType w:start="1"/>
          <w:cols w:num="2" w:space="403"/>
          <w:docGrid w:linePitch="360"/>
        </w:sectPr>
      </w:pPr>
    </w:p>
    <w:p w14:paraId="1AD6E681" w14:textId="77777777" w:rsidR="009B143A" w:rsidRDefault="009B143A" w:rsidP="00FD1278">
      <w:pPr>
        <w:widowControl w:val="0"/>
        <w:autoSpaceDE w:val="0"/>
        <w:autoSpaceDN w:val="0"/>
        <w:spacing w:after="0"/>
        <w:jc w:val="both"/>
        <w:outlineLvl w:val="0"/>
        <w:rPr>
          <w:rFonts w:ascii="Times New Roman" w:eastAsia="SimSun" w:hAnsi="Times New Roman"/>
          <w:b/>
          <w:bCs/>
          <w:kern w:val="2"/>
          <w:sz w:val="20"/>
          <w:szCs w:val="20"/>
          <w:lang w:eastAsia="ko-KR" w:bidi="ar-SA"/>
        </w:rPr>
      </w:pPr>
    </w:p>
    <w:p w14:paraId="0DEADCF5" w14:textId="417DEE9A" w:rsidR="009B143A" w:rsidRDefault="009B143A" w:rsidP="009B143A">
      <w:pPr>
        <w:widowControl w:val="0"/>
        <w:autoSpaceDE w:val="0"/>
        <w:autoSpaceDN w:val="0"/>
        <w:spacing w:after="0"/>
        <w:jc w:val="center"/>
        <w:outlineLvl w:val="0"/>
        <w:rPr>
          <w:rFonts w:ascii="Times New Roman" w:eastAsia="SimSun" w:hAnsi="Times New Roman"/>
          <w:b/>
          <w:bCs/>
          <w:kern w:val="2"/>
          <w:sz w:val="20"/>
          <w:szCs w:val="20"/>
          <w:lang w:eastAsia="ko-KR" w:bidi="ar-SA"/>
        </w:rPr>
      </w:pPr>
      <w:r w:rsidRPr="004E21B7">
        <w:rPr>
          <w:rFonts w:ascii="Times New Roman" w:hAnsi="Times New Roman"/>
          <w:b/>
          <w:noProof/>
          <w:szCs w:val="20"/>
          <w:lang w:val="en-AU" w:eastAsia="zh-CN"/>
        </w:rPr>
        <w:drawing>
          <wp:inline distT="0" distB="0" distL="0" distR="0" wp14:anchorId="17376942" wp14:editId="4F45E38C">
            <wp:extent cx="3739896" cy="886968"/>
            <wp:effectExtent l="0" t="0" r="0" b="889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3739896" cy="886968"/>
                    </a:xfrm>
                    <a:prstGeom prst="rect">
                      <a:avLst/>
                    </a:prstGeom>
                  </pic:spPr>
                </pic:pic>
              </a:graphicData>
            </a:graphic>
          </wp:inline>
        </w:drawing>
      </w:r>
    </w:p>
    <w:p w14:paraId="71734F15" w14:textId="77777777" w:rsidR="009B143A" w:rsidRPr="00125C09" w:rsidRDefault="009B143A" w:rsidP="009B143A">
      <w:pPr>
        <w:spacing w:after="0"/>
        <w:jc w:val="center"/>
        <w:rPr>
          <w:rFonts w:asciiTheme="majorBidi" w:eastAsiaTheme="majorEastAsia" w:hAnsiTheme="majorBidi" w:cstheme="majorBidi"/>
          <w:bCs/>
          <w:sz w:val="20"/>
          <w:szCs w:val="18"/>
        </w:rPr>
      </w:pPr>
      <w:r w:rsidRPr="00C844C6">
        <w:rPr>
          <w:rFonts w:asciiTheme="majorBidi" w:hAnsiTheme="majorBidi" w:cstheme="majorBidi"/>
          <w:bCs/>
          <w:sz w:val="20"/>
          <w:szCs w:val="18"/>
        </w:rPr>
        <w:t xml:space="preserve">Figure 1. </w:t>
      </w:r>
      <w:r>
        <w:rPr>
          <w:rFonts w:asciiTheme="majorBidi" w:hAnsiTheme="majorBidi" w:cstheme="majorBidi"/>
          <w:bCs/>
          <w:sz w:val="20"/>
          <w:szCs w:val="18"/>
        </w:rPr>
        <w:t xml:space="preserve"> </w:t>
      </w:r>
      <w:r w:rsidRPr="00C844C6">
        <w:rPr>
          <w:rFonts w:asciiTheme="majorBidi" w:eastAsiaTheme="majorEastAsia" w:hAnsiTheme="majorBidi" w:cstheme="majorBidi"/>
          <w:bCs/>
          <w:sz w:val="20"/>
          <w:szCs w:val="18"/>
        </w:rPr>
        <w:t>Preparation of polyamide TFC layer via interfacial polymerization method</w:t>
      </w:r>
    </w:p>
    <w:p w14:paraId="4868412C" w14:textId="1E9B7FD5" w:rsidR="009B143A" w:rsidRDefault="009B143A" w:rsidP="008B0258">
      <w:pPr>
        <w:widowControl w:val="0"/>
        <w:tabs>
          <w:tab w:val="left" w:pos="948"/>
        </w:tabs>
        <w:autoSpaceDE w:val="0"/>
        <w:autoSpaceDN w:val="0"/>
        <w:spacing w:after="0"/>
        <w:jc w:val="both"/>
        <w:outlineLvl w:val="0"/>
        <w:rPr>
          <w:rFonts w:ascii="Times New Roman" w:eastAsia="SimSun" w:hAnsi="Times New Roman"/>
          <w:b/>
          <w:bCs/>
          <w:kern w:val="2"/>
          <w:sz w:val="20"/>
          <w:szCs w:val="20"/>
          <w:lang w:eastAsia="ko-KR" w:bidi="ar-SA"/>
        </w:rPr>
      </w:pPr>
    </w:p>
    <w:p w14:paraId="6FADBF94" w14:textId="4DF3775B" w:rsidR="004B05D3" w:rsidRDefault="008B0258" w:rsidP="008B0258">
      <w:pPr>
        <w:widowControl w:val="0"/>
        <w:tabs>
          <w:tab w:val="left" w:pos="948"/>
        </w:tabs>
        <w:autoSpaceDE w:val="0"/>
        <w:autoSpaceDN w:val="0"/>
        <w:spacing w:after="0"/>
        <w:jc w:val="both"/>
        <w:outlineLvl w:val="0"/>
        <w:rPr>
          <w:rFonts w:ascii="Times New Roman" w:eastAsia="SimSun" w:hAnsi="Times New Roman"/>
          <w:b/>
          <w:bCs/>
          <w:kern w:val="2"/>
          <w:sz w:val="20"/>
          <w:szCs w:val="20"/>
          <w:lang w:eastAsia="ko-KR" w:bidi="ar-SA"/>
        </w:rPr>
        <w:sectPr w:rsidR="004B05D3" w:rsidSect="009B143A">
          <w:type w:val="continuous"/>
          <w:pgSz w:w="12240" w:h="15840" w:code="1"/>
          <w:pgMar w:top="1800" w:right="1469" w:bottom="1699" w:left="1440" w:header="706" w:footer="706" w:gutter="0"/>
          <w:pgNumType w:start="1"/>
          <w:cols w:space="403"/>
          <w:docGrid w:linePitch="360"/>
        </w:sectPr>
      </w:pPr>
      <w:r>
        <w:rPr>
          <w:rFonts w:ascii="Times New Roman" w:eastAsia="SimSun" w:hAnsi="Times New Roman"/>
          <w:b/>
          <w:bCs/>
          <w:kern w:val="2"/>
          <w:sz w:val="20"/>
          <w:szCs w:val="20"/>
          <w:lang w:eastAsia="ko-KR" w:bidi="ar-SA"/>
        </w:rPr>
        <w:tab/>
      </w:r>
    </w:p>
    <w:p w14:paraId="1F852228" w14:textId="23A867C7" w:rsidR="00C844C6" w:rsidRPr="00FD1278" w:rsidRDefault="00C844C6" w:rsidP="00FD1278">
      <w:pPr>
        <w:widowControl w:val="0"/>
        <w:autoSpaceDE w:val="0"/>
        <w:autoSpaceDN w:val="0"/>
        <w:spacing w:after="0"/>
        <w:jc w:val="both"/>
        <w:outlineLvl w:val="0"/>
        <w:rPr>
          <w:rFonts w:ascii="Times New Roman" w:eastAsia="SimSun" w:hAnsi="Times New Roman"/>
          <w:bCs/>
          <w:kern w:val="2"/>
          <w:sz w:val="20"/>
          <w:szCs w:val="20"/>
          <w:lang w:eastAsia="ko-KR" w:bidi="ar-SA"/>
        </w:rPr>
      </w:pPr>
      <w:r w:rsidRPr="00FD1278">
        <w:rPr>
          <w:rFonts w:ascii="Times New Roman" w:eastAsia="SimSun" w:hAnsi="Times New Roman"/>
          <w:b/>
          <w:bCs/>
          <w:kern w:val="2"/>
          <w:sz w:val="20"/>
          <w:szCs w:val="20"/>
          <w:lang w:eastAsia="ko-KR" w:bidi="ar-SA"/>
        </w:rPr>
        <w:t>Characterization of the PA-TFC FO membrane:</w:t>
      </w:r>
      <w:r w:rsidRPr="00FD1278">
        <w:rPr>
          <w:rFonts w:ascii="Times New Roman" w:eastAsia="SimSun" w:hAnsi="Times New Roman"/>
          <w:bCs/>
          <w:kern w:val="2"/>
          <w:sz w:val="20"/>
          <w:szCs w:val="20"/>
          <w:lang w:eastAsia="ko-KR" w:bidi="ar-SA"/>
        </w:rPr>
        <w:t xml:space="preserve"> </w:t>
      </w:r>
      <w:r w:rsidRPr="00FD1278">
        <w:rPr>
          <w:rFonts w:ascii="Times New Roman" w:eastAsia="SimSun" w:hAnsi="Times New Roman"/>
          <w:b/>
          <w:bCs/>
          <w:kern w:val="2"/>
          <w:sz w:val="20"/>
          <w:szCs w:val="20"/>
          <w:lang w:eastAsia="ko-KR" w:bidi="ar-SA"/>
        </w:rPr>
        <w:t>Morphological Analysis</w:t>
      </w:r>
    </w:p>
    <w:p w14:paraId="517C0A82" w14:textId="77777777" w:rsidR="00C844C6" w:rsidRPr="00FD1278" w:rsidRDefault="00C844C6" w:rsidP="00FD1278">
      <w:pPr>
        <w:widowControl w:val="0"/>
        <w:autoSpaceDE w:val="0"/>
        <w:autoSpaceDN w:val="0"/>
        <w:spacing w:after="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 xml:space="preserve">The morphological structures including top surface and cross-section of the PSf substrate and PA -TFC membrane were examined using field emission scanning electron microscopy (FESEM, </w:t>
      </w:r>
      <w:bookmarkStart w:id="1" w:name="_Hlk86330004"/>
      <w:r w:rsidRPr="00FD1278">
        <w:rPr>
          <w:rFonts w:ascii="Times New Roman" w:eastAsia="SimSun" w:hAnsi="Times New Roman"/>
          <w:kern w:val="2"/>
          <w:sz w:val="20"/>
          <w:szCs w:val="20"/>
          <w:lang w:eastAsia="ko-KR" w:bidi="ar-SA"/>
        </w:rPr>
        <w:t>Zeiss, supra 55VP</w:t>
      </w:r>
      <w:bookmarkEnd w:id="1"/>
      <w:r w:rsidRPr="00FD1278">
        <w:rPr>
          <w:rFonts w:ascii="Times New Roman" w:eastAsia="SimSun" w:hAnsi="Times New Roman"/>
          <w:kern w:val="2"/>
          <w:sz w:val="20"/>
          <w:szCs w:val="20"/>
          <w:lang w:eastAsia="ko-KR" w:bidi="ar-SA"/>
        </w:rPr>
        <w:t>, 12-2,000,000x). The samples were then further examined using a Zeiss Supra V55 microscope.</w:t>
      </w:r>
    </w:p>
    <w:p w14:paraId="2BDE64D4" w14:textId="63FD7F4A" w:rsidR="008B0258" w:rsidRDefault="008B0258" w:rsidP="00FD1278">
      <w:pPr>
        <w:widowControl w:val="0"/>
        <w:autoSpaceDE w:val="0"/>
        <w:autoSpaceDN w:val="0"/>
        <w:spacing w:after="0"/>
        <w:jc w:val="both"/>
        <w:rPr>
          <w:rFonts w:ascii="Times New Roman" w:eastAsia="SimSun" w:hAnsi="Times New Roman"/>
          <w:b/>
          <w:bCs/>
          <w:i/>
          <w:iCs/>
          <w:kern w:val="2"/>
          <w:sz w:val="20"/>
          <w:szCs w:val="20"/>
          <w:lang w:eastAsia="ko-KR" w:bidi="ar-SA"/>
        </w:rPr>
      </w:pPr>
    </w:p>
    <w:p w14:paraId="0F091F57" w14:textId="6C03FDD5" w:rsidR="00240376" w:rsidRDefault="00240376" w:rsidP="00FD1278">
      <w:pPr>
        <w:widowControl w:val="0"/>
        <w:autoSpaceDE w:val="0"/>
        <w:autoSpaceDN w:val="0"/>
        <w:spacing w:after="0"/>
        <w:jc w:val="both"/>
        <w:rPr>
          <w:rFonts w:ascii="Times New Roman" w:eastAsia="SimSun" w:hAnsi="Times New Roman"/>
          <w:b/>
          <w:bCs/>
          <w:i/>
          <w:iCs/>
          <w:kern w:val="2"/>
          <w:sz w:val="20"/>
          <w:szCs w:val="20"/>
          <w:lang w:eastAsia="ko-KR" w:bidi="ar-SA"/>
        </w:rPr>
      </w:pPr>
    </w:p>
    <w:p w14:paraId="702DBB2E" w14:textId="77777777" w:rsidR="00240376" w:rsidRDefault="00240376" w:rsidP="00FD1278">
      <w:pPr>
        <w:widowControl w:val="0"/>
        <w:autoSpaceDE w:val="0"/>
        <w:autoSpaceDN w:val="0"/>
        <w:spacing w:after="0"/>
        <w:jc w:val="both"/>
        <w:rPr>
          <w:rFonts w:ascii="Times New Roman" w:eastAsia="SimSun" w:hAnsi="Times New Roman"/>
          <w:b/>
          <w:bCs/>
          <w:i/>
          <w:iCs/>
          <w:kern w:val="2"/>
          <w:sz w:val="20"/>
          <w:szCs w:val="20"/>
          <w:lang w:eastAsia="ko-KR" w:bidi="ar-SA"/>
        </w:rPr>
      </w:pPr>
    </w:p>
    <w:p w14:paraId="47152EA1" w14:textId="77777777" w:rsidR="00C844C6" w:rsidRPr="00FD1278" w:rsidRDefault="00C844C6" w:rsidP="00FD1278">
      <w:pPr>
        <w:widowControl w:val="0"/>
        <w:autoSpaceDE w:val="0"/>
        <w:autoSpaceDN w:val="0"/>
        <w:spacing w:after="0"/>
        <w:jc w:val="both"/>
        <w:rPr>
          <w:rFonts w:ascii="Times New Roman" w:eastAsia="SimSun" w:hAnsi="Times New Roman"/>
          <w:b/>
          <w:bCs/>
          <w:kern w:val="2"/>
          <w:sz w:val="20"/>
          <w:szCs w:val="20"/>
          <w:lang w:eastAsia="ko-KR" w:bidi="ar-SA"/>
        </w:rPr>
      </w:pPr>
      <w:r w:rsidRPr="00FD1278">
        <w:rPr>
          <w:rFonts w:ascii="Times New Roman" w:eastAsia="SimSun" w:hAnsi="Times New Roman"/>
          <w:b/>
          <w:bCs/>
          <w:kern w:val="2"/>
          <w:sz w:val="20"/>
          <w:szCs w:val="20"/>
          <w:lang w:eastAsia="ko-KR" w:bidi="ar-SA"/>
        </w:rPr>
        <w:t>Contact angle analysis</w:t>
      </w:r>
    </w:p>
    <w:p w14:paraId="78602656" w14:textId="77777777" w:rsidR="00AE21A4" w:rsidRDefault="00C844C6" w:rsidP="00AE21A4">
      <w:pPr>
        <w:widowControl w:val="0"/>
        <w:autoSpaceDE w:val="0"/>
        <w:autoSpaceDN w:val="0"/>
        <w:spacing w:after="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The contact angle of the membranes was measured at room temperature with a GSPJ-360 goniometer and distilled water was used as the measuring liquid. When water was dropped onto the membrane's surface, the CA was instantaneously calculated and recorded. To reduce experimental errors, 10 measurements were conducted at random points on the membrane surface, and the average CA was calculated.</w:t>
      </w:r>
    </w:p>
    <w:p w14:paraId="4707A467" w14:textId="35C3A86E" w:rsidR="008B0258" w:rsidRDefault="008B0258" w:rsidP="00AE21A4">
      <w:pPr>
        <w:widowControl w:val="0"/>
        <w:autoSpaceDE w:val="0"/>
        <w:autoSpaceDN w:val="0"/>
        <w:spacing w:after="0"/>
        <w:jc w:val="both"/>
        <w:rPr>
          <w:rFonts w:ascii="Times New Roman" w:eastAsia="SimSun" w:hAnsi="Times New Roman"/>
          <w:b/>
          <w:bCs/>
          <w:kern w:val="2"/>
          <w:sz w:val="20"/>
          <w:szCs w:val="20"/>
          <w:lang w:eastAsia="ko-KR" w:bidi="ar-SA"/>
        </w:rPr>
      </w:pPr>
    </w:p>
    <w:p w14:paraId="2E2148D2" w14:textId="77777777" w:rsidR="008B0258" w:rsidRDefault="008B0258" w:rsidP="00AE21A4">
      <w:pPr>
        <w:widowControl w:val="0"/>
        <w:autoSpaceDE w:val="0"/>
        <w:autoSpaceDN w:val="0"/>
        <w:spacing w:after="0"/>
        <w:jc w:val="both"/>
        <w:rPr>
          <w:rFonts w:ascii="Times New Roman" w:eastAsia="SimSun" w:hAnsi="Times New Roman"/>
          <w:b/>
          <w:bCs/>
          <w:kern w:val="2"/>
          <w:sz w:val="20"/>
          <w:szCs w:val="20"/>
          <w:lang w:eastAsia="ko-KR" w:bidi="ar-SA"/>
        </w:rPr>
      </w:pPr>
    </w:p>
    <w:p w14:paraId="3E6883EF" w14:textId="0B3ADB63" w:rsidR="008B0258" w:rsidRDefault="008B0258" w:rsidP="00AE21A4">
      <w:pPr>
        <w:widowControl w:val="0"/>
        <w:autoSpaceDE w:val="0"/>
        <w:autoSpaceDN w:val="0"/>
        <w:spacing w:after="0"/>
        <w:jc w:val="both"/>
        <w:rPr>
          <w:rFonts w:ascii="Times New Roman" w:eastAsia="SimSun" w:hAnsi="Times New Roman"/>
          <w:b/>
          <w:bCs/>
          <w:kern w:val="2"/>
          <w:sz w:val="20"/>
          <w:szCs w:val="20"/>
          <w:lang w:eastAsia="ko-KR" w:bidi="ar-SA"/>
        </w:rPr>
        <w:sectPr w:rsidR="008B0258" w:rsidSect="009B143A">
          <w:type w:val="continuous"/>
          <w:pgSz w:w="12240" w:h="15840" w:code="1"/>
          <w:pgMar w:top="1800" w:right="1469" w:bottom="1699" w:left="1440" w:header="706" w:footer="706" w:gutter="0"/>
          <w:pgNumType w:start="1"/>
          <w:cols w:num="2" w:space="403"/>
          <w:docGrid w:linePitch="360"/>
        </w:sectPr>
      </w:pPr>
    </w:p>
    <w:p w14:paraId="4540DFF3" w14:textId="409B537C" w:rsidR="00AE21A4" w:rsidRPr="00AE21A4" w:rsidRDefault="00AE21A4" w:rsidP="00AE21A4">
      <w:pPr>
        <w:widowControl w:val="0"/>
        <w:autoSpaceDE w:val="0"/>
        <w:autoSpaceDN w:val="0"/>
        <w:spacing w:after="0"/>
        <w:jc w:val="both"/>
        <w:rPr>
          <w:rFonts w:ascii="Times New Roman" w:eastAsia="SimSun" w:hAnsi="Times New Roman"/>
          <w:kern w:val="2"/>
          <w:sz w:val="20"/>
          <w:szCs w:val="20"/>
          <w:lang w:eastAsia="ko-KR" w:bidi="ar-SA"/>
        </w:rPr>
      </w:pPr>
      <w:r w:rsidRPr="00FD1278">
        <w:rPr>
          <w:rFonts w:ascii="Times New Roman" w:eastAsia="SimSun" w:hAnsi="Times New Roman"/>
          <w:b/>
          <w:bCs/>
          <w:kern w:val="2"/>
          <w:sz w:val="20"/>
          <w:szCs w:val="20"/>
          <w:lang w:eastAsia="ko-KR" w:bidi="ar-SA"/>
        </w:rPr>
        <w:lastRenderedPageBreak/>
        <w:t>Fourier-transform infrared spectroscopy</w:t>
      </w:r>
    </w:p>
    <w:p w14:paraId="64DC5580" w14:textId="4A9A3513" w:rsidR="00AE21A4" w:rsidRDefault="00AE21A4" w:rsidP="00AE21A4">
      <w:pPr>
        <w:spacing w:after="0"/>
        <w:jc w:val="both"/>
        <w:rPr>
          <w:rFonts w:ascii="Times New Roman" w:hAnsi="Times New Roman"/>
          <w:sz w:val="20"/>
          <w:szCs w:val="20"/>
          <w:lang w:bidi="ar-SA"/>
        </w:rPr>
      </w:pPr>
      <w:r w:rsidRPr="00FD1278">
        <w:rPr>
          <w:rFonts w:ascii="Times New Roman" w:hAnsi="Times New Roman"/>
          <w:sz w:val="20"/>
          <w:szCs w:val="20"/>
          <w:lang w:bidi="ar-SA"/>
        </w:rPr>
        <w:t>An infrared spectroscope (Perkin Elmer, Frontier 01) with a range of 550-4000 cm</w:t>
      </w:r>
      <w:r w:rsidRPr="00FD1278">
        <w:rPr>
          <w:rFonts w:ascii="Times New Roman" w:hAnsi="Times New Roman"/>
          <w:sz w:val="20"/>
          <w:szCs w:val="20"/>
          <w:vertAlign w:val="superscript"/>
          <w:lang w:bidi="ar-SA"/>
        </w:rPr>
        <w:t>-1</w:t>
      </w:r>
      <w:r w:rsidRPr="00FD1278">
        <w:rPr>
          <w:rFonts w:ascii="Times New Roman" w:hAnsi="Times New Roman"/>
          <w:sz w:val="20"/>
          <w:szCs w:val="20"/>
          <w:lang w:bidi="ar-SA"/>
        </w:rPr>
        <w:t xml:space="preserve"> was used to investigate the chemical changes on the membrane surface before and after the TFC treatment. FTIR spectroscopy was used to detect the active polyamide layer as well as other functional groups.</w:t>
      </w:r>
    </w:p>
    <w:p w14:paraId="18F2FE29" w14:textId="77777777" w:rsidR="004B05D3" w:rsidRPr="00FD1278" w:rsidRDefault="004B05D3" w:rsidP="00AE21A4">
      <w:pPr>
        <w:spacing w:after="0"/>
        <w:jc w:val="both"/>
        <w:rPr>
          <w:rFonts w:ascii="Times New Roman" w:hAnsi="Times New Roman"/>
          <w:sz w:val="20"/>
          <w:szCs w:val="20"/>
          <w:lang w:bidi="ar-SA"/>
        </w:rPr>
      </w:pPr>
    </w:p>
    <w:p w14:paraId="017AF471" w14:textId="77777777" w:rsidR="00AE21A4" w:rsidRPr="00FD1278" w:rsidRDefault="00AE21A4" w:rsidP="00AE21A4">
      <w:pPr>
        <w:spacing w:after="0"/>
        <w:jc w:val="both"/>
        <w:rPr>
          <w:rFonts w:ascii="Times New Roman" w:hAnsi="Times New Roman"/>
          <w:i/>
          <w:iCs/>
          <w:sz w:val="20"/>
          <w:szCs w:val="20"/>
          <w:lang w:bidi="ar-SA"/>
        </w:rPr>
      </w:pPr>
      <w:r w:rsidRPr="00FD1278">
        <w:rPr>
          <w:rFonts w:ascii="Times New Roman" w:hAnsi="Times New Roman"/>
          <w:b/>
          <w:bCs/>
          <w:sz w:val="20"/>
          <w:szCs w:val="20"/>
          <w:lang w:bidi="ar-SA"/>
        </w:rPr>
        <w:t>Atomic force microscopy analysis</w:t>
      </w:r>
    </w:p>
    <w:p w14:paraId="65003631" w14:textId="77777777" w:rsidR="00AE21A4" w:rsidRPr="00FD1278" w:rsidRDefault="00AE21A4" w:rsidP="00AE21A4">
      <w:pPr>
        <w:spacing w:after="0"/>
        <w:jc w:val="both"/>
        <w:rPr>
          <w:rFonts w:ascii="Times New Roman" w:hAnsi="Times New Roman"/>
          <w:sz w:val="20"/>
          <w:szCs w:val="20"/>
          <w:lang w:bidi="ar-SA"/>
        </w:rPr>
      </w:pPr>
      <w:r w:rsidRPr="00FD1278">
        <w:rPr>
          <w:rFonts w:ascii="Times New Roman" w:hAnsi="Times New Roman"/>
          <w:sz w:val="20"/>
          <w:szCs w:val="20"/>
          <w:lang w:bidi="ar-SA"/>
        </w:rPr>
        <w:t>The surface roughness of the membrane was measured using an AFM (Hitachi AFM500II). The membrane samples were cut into sections of 5 cm × 5 cm. The samples were then mounted on the device for AFM investigation using a metal block.</w:t>
      </w:r>
    </w:p>
    <w:p w14:paraId="3B86B1DB" w14:textId="77777777" w:rsidR="00AE21A4" w:rsidRDefault="00AE21A4" w:rsidP="00FD1278">
      <w:pPr>
        <w:widowControl w:val="0"/>
        <w:autoSpaceDE w:val="0"/>
        <w:autoSpaceDN w:val="0"/>
        <w:spacing w:after="0"/>
        <w:jc w:val="both"/>
        <w:rPr>
          <w:rFonts w:ascii="Times New Roman" w:eastAsia="SimSun" w:hAnsi="Times New Roman"/>
          <w:kern w:val="2"/>
          <w:sz w:val="20"/>
          <w:szCs w:val="20"/>
          <w:lang w:eastAsia="ko-KR" w:bidi="ar-SA"/>
        </w:rPr>
      </w:pPr>
    </w:p>
    <w:p w14:paraId="2DA838C3" w14:textId="77777777" w:rsidR="004B05D3" w:rsidRPr="00FD1278" w:rsidRDefault="004B05D3" w:rsidP="004B05D3">
      <w:pPr>
        <w:spacing w:after="0"/>
        <w:jc w:val="both"/>
        <w:rPr>
          <w:rFonts w:ascii="Times New Roman" w:hAnsi="Times New Roman"/>
          <w:sz w:val="20"/>
          <w:szCs w:val="20"/>
          <w:lang w:bidi="ar-SA"/>
        </w:rPr>
      </w:pPr>
      <w:r w:rsidRPr="00FD1278">
        <w:rPr>
          <w:rFonts w:ascii="Times New Roman" w:eastAsia="SimSun" w:hAnsi="Times New Roman"/>
          <w:b/>
          <w:bCs/>
          <w:sz w:val="20"/>
          <w:szCs w:val="20"/>
          <w:lang w:bidi="ar-SA"/>
        </w:rPr>
        <w:t xml:space="preserve">Preparation of the Synthetic Wastewater and Determination of the PA-TFC Performance </w:t>
      </w:r>
    </w:p>
    <w:p w14:paraId="29966C41" w14:textId="77777777" w:rsidR="004B05D3" w:rsidRPr="00FD1278" w:rsidRDefault="004B05D3" w:rsidP="004B05D3">
      <w:pPr>
        <w:spacing w:after="0"/>
        <w:jc w:val="both"/>
        <w:rPr>
          <w:rFonts w:ascii="Times New Roman" w:hAnsi="Times New Roman"/>
          <w:sz w:val="20"/>
          <w:szCs w:val="20"/>
          <w:lang w:bidi="ar-SA"/>
        </w:rPr>
      </w:pPr>
      <w:r w:rsidRPr="00FD1278">
        <w:rPr>
          <w:rFonts w:ascii="Times New Roman" w:hAnsi="Times New Roman"/>
          <w:sz w:val="20"/>
          <w:szCs w:val="20"/>
          <w:lang w:bidi="ar-SA"/>
        </w:rPr>
        <w:t>Due to BPA’s insolubility in water, a working feed solution with a concentration of 100 mgL</w:t>
      </w:r>
      <w:r w:rsidRPr="00FD1278">
        <w:rPr>
          <w:rFonts w:ascii="Times New Roman" w:hAnsi="Times New Roman"/>
          <w:sz w:val="20"/>
          <w:szCs w:val="20"/>
          <w:vertAlign w:val="superscript"/>
          <w:lang w:bidi="ar-SA"/>
        </w:rPr>
        <w:t>-1</w:t>
      </w:r>
      <w:r w:rsidRPr="00FD1278">
        <w:rPr>
          <w:rFonts w:ascii="Times New Roman" w:hAnsi="Times New Roman"/>
          <w:sz w:val="20"/>
          <w:szCs w:val="20"/>
          <w:lang w:bidi="ar-SA"/>
        </w:rPr>
        <w:t xml:space="preserve"> was prepared by dissolving the prescribed amount of BPA in a small amount of methanol before it was introduced to the experimental feed solution. The solution was then stirred at 120 </w:t>
      </w:r>
      <w:r w:rsidRPr="00FD1278">
        <w:rPr>
          <w:rFonts w:ascii="Times New Roman" w:hAnsi="Times New Roman"/>
          <w:sz w:val="20"/>
          <w:szCs w:val="20"/>
          <w:vertAlign w:val="superscript"/>
          <w:lang w:bidi="ar-SA"/>
        </w:rPr>
        <w:t>o</w:t>
      </w:r>
      <w:r w:rsidRPr="00FD1278">
        <w:rPr>
          <w:rFonts w:ascii="Times New Roman" w:hAnsi="Times New Roman"/>
          <w:sz w:val="20"/>
          <w:szCs w:val="20"/>
          <w:lang w:bidi="ar-SA"/>
        </w:rPr>
        <w:t xml:space="preserve">C with a magnetic stirrer until the BPA particles were completed dissolved. The draw solution consisted of 4M NaCl. The active layer of the membrane was positioned toward the feed solution. </w:t>
      </w:r>
    </w:p>
    <w:p w14:paraId="0AC3C42C" w14:textId="77777777" w:rsidR="004B05D3" w:rsidRPr="00FD1278" w:rsidRDefault="004B05D3" w:rsidP="004B05D3">
      <w:pPr>
        <w:spacing w:after="0"/>
        <w:jc w:val="both"/>
        <w:rPr>
          <w:rFonts w:ascii="Times New Roman" w:hAnsi="Times New Roman"/>
          <w:sz w:val="20"/>
          <w:szCs w:val="20"/>
          <w:lang w:bidi="ar-SA"/>
        </w:rPr>
      </w:pPr>
    </w:p>
    <w:p w14:paraId="13497533" w14:textId="77777777" w:rsidR="004B05D3" w:rsidRDefault="004B05D3" w:rsidP="004B05D3">
      <w:pPr>
        <w:spacing w:after="0"/>
        <w:jc w:val="both"/>
        <w:rPr>
          <w:rFonts w:ascii="Times New Roman" w:hAnsi="Times New Roman"/>
          <w:sz w:val="20"/>
          <w:szCs w:val="16"/>
          <w:lang w:bidi="ar-SA"/>
        </w:rPr>
      </w:pPr>
      <w:r w:rsidRPr="00FD1278">
        <w:rPr>
          <w:rFonts w:ascii="Times New Roman" w:hAnsi="Times New Roman"/>
          <w:sz w:val="20"/>
          <w:szCs w:val="16"/>
          <w:lang w:bidi="ar-SA"/>
        </w:rPr>
        <w:t xml:space="preserve">The forward osmosis experiment was conducted according to the setup as shown in </w:t>
      </w:r>
      <w:r w:rsidRPr="00E32ED9">
        <w:rPr>
          <w:rFonts w:ascii="Times New Roman" w:hAnsi="Times New Roman"/>
          <w:sz w:val="20"/>
          <w:szCs w:val="16"/>
          <w:lang w:bidi="ar-SA"/>
        </w:rPr>
        <w:t>Figure 2</w:t>
      </w:r>
      <w:r w:rsidRPr="00FD1278">
        <w:rPr>
          <w:rFonts w:ascii="Times New Roman" w:hAnsi="Times New Roman"/>
          <w:sz w:val="20"/>
          <w:szCs w:val="16"/>
          <w:lang w:bidi="ar-SA"/>
        </w:rPr>
        <w:t xml:space="preserve">. The initial quantities of the feed and draw solutions were 500 and 800 mL, respectively. The draw and feed solutions were interacting directly with each other through the membrane module. The temperature of both solutions was maintained at room temperature. Membrane </w:t>
      </w:r>
      <w:r w:rsidRPr="00FD1278">
        <w:rPr>
          <w:rFonts w:ascii="Times New Roman" w:hAnsi="Times New Roman"/>
          <w:sz w:val="20"/>
          <w:szCs w:val="16"/>
          <w:lang w:bidi="ar-SA"/>
        </w:rPr>
        <w:t>orientation was kept on AL-FS mode to mitigate the fouling effect [14]. The feed and draw solutions were recirculated in co-current mode to the membrane module at 200 mL/min using a BT600M dual-channel pump. The feed solution was placed on a precision balance (Huazhi Scientific Instrument HZK-3102) to record the weight variations associated with the water flux calculation. The precision weight balance was linked to a computer for data logging via the Serial-Port-to-Keyboard software provided by Huazhi Scientific Instrument. The samples were taken at predetermined intervals, and the concentrations of the feed and draw solutions were measured using a UV-Vis spectrophotometer. Each of the experiments was conducted twice in order to ascertain the accuracy and precision of the results. </w:t>
      </w:r>
    </w:p>
    <w:p w14:paraId="0421D543" w14:textId="77777777" w:rsidR="004B05D3" w:rsidRDefault="004B05D3" w:rsidP="004B05D3">
      <w:pPr>
        <w:spacing w:after="0"/>
        <w:jc w:val="both"/>
        <w:rPr>
          <w:rFonts w:ascii="Times New Roman" w:hAnsi="Times New Roman"/>
          <w:sz w:val="20"/>
          <w:szCs w:val="16"/>
          <w:lang w:bidi="ar-SA"/>
        </w:rPr>
      </w:pPr>
    </w:p>
    <w:p w14:paraId="749BFD1F" w14:textId="542346C9" w:rsidR="004B05D3" w:rsidRPr="00FD1278" w:rsidRDefault="004B05D3" w:rsidP="004B05D3">
      <w:pPr>
        <w:widowControl w:val="0"/>
        <w:autoSpaceDE w:val="0"/>
        <w:autoSpaceDN w:val="0"/>
        <w:spacing w:after="12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Water permeation flux</w:t>
      </w:r>
      <w:r w:rsidRPr="00FD1278">
        <w:rPr>
          <w:rFonts w:ascii="Times New Roman" w:eastAsia="SimSun" w:hAnsi="Times New Roman"/>
          <w:i/>
          <w:iCs/>
          <w:kern w:val="2"/>
          <w:sz w:val="20"/>
          <w:szCs w:val="20"/>
          <w:lang w:eastAsia="ko-KR" w:bidi="ar-SA"/>
        </w:rPr>
        <w:t>, J</w:t>
      </w:r>
      <w:r w:rsidRPr="00FD1278">
        <w:rPr>
          <w:rFonts w:ascii="Times New Roman" w:eastAsia="SimSun" w:hAnsi="Times New Roman"/>
          <w:i/>
          <w:iCs/>
          <w:kern w:val="2"/>
          <w:sz w:val="20"/>
          <w:szCs w:val="20"/>
          <w:vertAlign w:val="subscript"/>
          <w:lang w:eastAsia="ko-KR" w:bidi="ar-SA"/>
        </w:rPr>
        <w:t>w</w:t>
      </w:r>
      <w:r w:rsidRPr="00FD1278">
        <w:rPr>
          <w:rFonts w:ascii="Times New Roman" w:eastAsia="SimSun" w:hAnsi="Times New Roman"/>
          <w:i/>
          <w:iCs/>
          <w:kern w:val="2"/>
          <w:sz w:val="20"/>
          <w:szCs w:val="20"/>
          <w:lang w:eastAsia="ko-KR" w:bidi="ar-SA"/>
        </w:rPr>
        <w:t xml:space="preserve"> in L/m</w:t>
      </w:r>
      <w:r w:rsidRPr="00FD1278">
        <w:rPr>
          <w:rFonts w:ascii="Times New Roman" w:eastAsia="SimSun" w:hAnsi="Times New Roman"/>
          <w:i/>
          <w:iCs/>
          <w:kern w:val="2"/>
          <w:sz w:val="20"/>
          <w:szCs w:val="20"/>
          <w:vertAlign w:val="superscript"/>
          <w:lang w:eastAsia="ko-KR" w:bidi="ar-SA"/>
        </w:rPr>
        <w:t>2</w:t>
      </w:r>
      <w:r w:rsidRPr="00FD1278">
        <w:rPr>
          <w:rFonts w:ascii="Times New Roman" w:eastAsia="SimSun" w:hAnsi="Times New Roman"/>
          <w:i/>
          <w:iCs/>
          <w:kern w:val="2"/>
          <w:sz w:val="20"/>
          <w:szCs w:val="20"/>
          <w:lang w:eastAsia="ko-KR" w:bidi="ar-SA"/>
        </w:rPr>
        <w:t>h</w:t>
      </w:r>
      <w:r w:rsidRPr="00FD1278">
        <w:rPr>
          <w:rFonts w:ascii="Times New Roman" w:eastAsia="SimSun" w:hAnsi="Times New Roman"/>
          <w:kern w:val="2"/>
          <w:sz w:val="20"/>
          <w:szCs w:val="20"/>
          <w:lang w:eastAsia="ko-KR" w:bidi="ar-SA"/>
        </w:rPr>
        <w:t xml:space="preserve"> was calculated using the change in weight of the feed solution over time and the membrane area, </w:t>
      </w:r>
      <m:oMath>
        <m:sSub>
          <m:sSubPr>
            <m:ctrlPr>
              <w:rPr>
                <w:rFonts w:ascii="Cambria Math" w:eastAsia="SimSun" w:hAnsi="Cambria Math"/>
                <w:i/>
                <w:kern w:val="2"/>
                <w:sz w:val="20"/>
                <w:szCs w:val="20"/>
                <w:lang w:eastAsia="ko-KR" w:bidi="ar-SA"/>
              </w:rPr>
            </m:ctrlPr>
          </m:sSubPr>
          <m:e>
            <m:r>
              <w:rPr>
                <w:rFonts w:ascii="Cambria Math" w:eastAsia="SimSun" w:hAnsi="Cambria Math"/>
                <w:kern w:val="2"/>
                <w:sz w:val="20"/>
                <w:szCs w:val="20"/>
                <w:lang w:eastAsia="ko-KR" w:bidi="ar-SA"/>
              </w:rPr>
              <m:t>A</m:t>
            </m:r>
          </m:e>
          <m:sub>
            <m:r>
              <w:rPr>
                <w:rFonts w:ascii="Cambria Math" w:eastAsia="SimSun" w:hAnsi="Cambria Math"/>
                <w:kern w:val="2"/>
                <w:sz w:val="20"/>
                <w:szCs w:val="20"/>
                <w:lang w:eastAsia="ko-KR" w:bidi="ar-SA"/>
              </w:rPr>
              <m:t>m</m:t>
            </m:r>
          </m:sub>
        </m:sSub>
      </m:oMath>
      <w:r w:rsidRPr="00FD1278">
        <w:rPr>
          <w:rFonts w:ascii="Times New Roman" w:eastAsia="SimSun" w:hAnsi="Times New Roman"/>
          <w:kern w:val="2"/>
          <w:sz w:val="20"/>
          <w:szCs w:val="20"/>
          <w:lang w:eastAsia="ko-KR" w:bidi="ar-SA"/>
        </w:rPr>
        <w:t>(m</w:t>
      </w:r>
      <w:r w:rsidRPr="00FD1278">
        <w:rPr>
          <w:rFonts w:ascii="Times New Roman" w:eastAsia="SimSun" w:hAnsi="Times New Roman"/>
          <w:kern w:val="2"/>
          <w:sz w:val="20"/>
          <w:szCs w:val="20"/>
          <w:vertAlign w:val="superscript"/>
          <w:lang w:eastAsia="ko-KR" w:bidi="ar-SA"/>
        </w:rPr>
        <w:t>2</w:t>
      </w:r>
      <w:r w:rsidRPr="00FD1278">
        <w:rPr>
          <w:rFonts w:ascii="Times New Roman" w:eastAsia="SimSun" w:hAnsi="Times New Roman"/>
          <w:kern w:val="2"/>
          <w:sz w:val="20"/>
          <w:szCs w:val="20"/>
          <w:lang w:eastAsia="ko-KR" w:bidi="ar-SA"/>
        </w:rPr>
        <w:t>) as shown in equation (1):</w:t>
      </w:r>
    </w:p>
    <w:p w14:paraId="0B7BCF38" w14:textId="1DE95FF5" w:rsidR="004B05D3" w:rsidRPr="004B05D3" w:rsidRDefault="004B05D3" w:rsidP="004B05D3">
      <w:pPr>
        <w:widowControl w:val="0"/>
        <w:autoSpaceDE w:val="0"/>
        <w:autoSpaceDN w:val="0"/>
        <w:spacing w:after="120"/>
        <w:ind w:firstLine="72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J</w:t>
      </w:r>
      <w:r w:rsidRPr="00FD1278">
        <w:rPr>
          <w:rFonts w:ascii="Times New Roman" w:eastAsia="SimSun" w:hAnsi="Times New Roman"/>
          <w:kern w:val="2"/>
          <w:sz w:val="20"/>
          <w:szCs w:val="20"/>
          <w:vertAlign w:val="subscript"/>
          <w:lang w:eastAsia="ko-KR" w:bidi="ar-SA"/>
        </w:rPr>
        <w:t>w</w:t>
      </w:r>
      <w:r w:rsidRPr="00FD1278">
        <w:rPr>
          <w:rFonts w:ascii="Times New Roman" w:eastAsia="SimSun" w:hAnsi="Times New Roman"/>
          <w:kern w:val="2"/>
          <w:sz w:val="20"/>
          <w:szCs w:val="20"/>
          <w:lang w:eastAsia="ko-KR" w:bidi="ar-SA"/>
        </w:rPr>
        <w:t xml:space="preserve"> =</w:t>
      </w:r>
      <w:r w:rsidRPr="00FD1278">
        <w:rPr>
          <w:rFonts w:ascii="Times New Roman" w:eastAsia="SimSun" w:hAnsi="Times New Roman"/>
          <w:kern w:val="2"/>
          <w:sz w:val="20"/>
          <w:szCs w:val="20"/>
          <w:lang w:eastAsia="ko-KR" w:bidi="ar-SA"/>
        </w:rPr>
        <w:tab/>
      </w:r>
      <m:oMath>
        <m:f>
          <m:fPr>
            <m:ctrlPr>
              <w:rPr>
                <w:rFonts w:ascii="Cambria Math" w:eastAsia="SimSun" w:hAnsi="Cambria Math"/>
                <w:i/>
                <w:kern w:val="2"/>
                <w:sz w:val="20"/>
                <w:szCs w:val="20"/>
                <w:lang w:eastAsia="ko-KR" w:bidi="ar-SA"/>
              </w:rPr>
            </m:ctrlPr>
          </m:fPr>
          <m:num>
            <m:r>
              <m:rPr>
                <m:sty m:val="p"/>
              </m:rPr>
              <w:rPr>
                <w:rFonts w:ascii="Cambria Math" w:eastAsia="SimSun" w:hAnsi="Cambria Math"/>
                <w:kern w:val="2"/>
                <w:sz w:val="20"/>
                <w:szCs w:val="20"/>
                <w:lang w:eastAsia="ko-KR" w:bidi="ar-SA"/>
              </w:rPr>
              <m:t>Δw</m:t>
            </m:r>
          </m:num>
          <m:den>
            <m:sSub>
              <m:sSubPr>
                <m:ctrlPr>
                  <w:rPr>
                    <w:rFonts w:ascii="Cambria Math" w:eastAsia="SimSun" w:hAnsi="Cambria Math"/>
                    <w:i/>
                    <w:kern w:val="2"/>
                    <w:sz w:val="20"/>
                    <w:szCs w:val="20"/>
                    <w:lang w:eastAsia="ko-KR" w:bidi="ar-SA"/>
                  </w:rPr>
                </m:ctrlPr>
              </m:sSubPr>
              <m:e>
                <m:r>
                  <w:rPr>
                    <w:rFonts w:ascii="Cambria Math" w:eastAsia="SimSun" w:hAnsi="Cambria Math"/>
                    <w:kern w:val="2"/>
                    <w:sz w:val="20"/>
                    <w:szCs w:val="20"/>
                    <w:lang w:eastAsia="ko-KR" w:bidi="ar-SA"/>
                  </w:rPr>
                  <m:t>A</m:t>
                </m:r>
              </m:e>
              <m:sub>
                <m:r>
                  <w:rPr>
                    <w:rFonts w:ascii="Cambria Math" w:eastAsia="SimSun" w:hAnsi="Cambria Math"/>
                    <w:kern w:val="2"/>
                    <w:sz w:val="20"/>
                    <w:szCs w:val="20"/>
                    <w:lang w:eastAsia="ko-KR" w:bidi="ar-SA"/>
                  </w:rPr>
                  <m:t>m</m:t>
                </m:r>
              </m:sub>
            </m:sSub>
            <m:r>
              <m:rPr>
                <m:sty m:val="p"/>
              </m:rPr>
              <w:rPr>
                <w:rFonts w:ascii="Cambria Math" w:eastAsia="SimSun" w:hAnsi="Cambria Math"/>
                <w:kern w:val="2"/>
                <w:sz w:val="20"/>
                <w:szCs w:val="20"/>
                <w:lang w:eastAsia="ko-KR" w:bidi="ar-SA"/>
              </w:rPr>
              <m:t>Δ</m:t>
            </m:r>
            <m:r>
              <w:rPr>
                <w:rFonts w:ascii="Cambria Math" w:eastAsia="SimSun" w:hAnsi="Cambria Math"/>
                <w:kern w:val="2"/>
                <w:sz w:val="20"/>
                <w:szCs w:val="20"/>
                <w:lang w:eastAsia="ko-KR" w:bidi="ar-SA"/>
              </w:rPr>
              <m:t>t</m:t>
            </m:r>
          </m:den>
        </m:f>
      </m:oMath>
      <w:r w:rsidRPr="00FD1278">
        <w:rPr>
          <w:rFonts w:ascii="Times New Roman" w:eastAsia="SimSun" w:hAnsi="Times New Roman"/>
          <w:kern w:val="2"/>
          <w:sz w:val="20"/>
          <w:szCs w:val="20"/>
          <w:lang w:eastAsia="ko-KR" w:bidi="ar-SA"/>
        </w:rPr>
        <w:tab/>
      </w:r>
      <w:r w:rsidRPr="00FD1278">
        <w:rPr>
          <w:rFonts w:ascii="Times New Roman" w:eastAsia="SimSun" w:hAnsi="Times New Roman"/>
          <w:kern w:val="2"/>
          <w:sz w:val="20"/>
          <w:szCs w:val="20"/>
          <w:lang w:eastAsia="ko-KR" w:bidi="ar-SA"/>
        </w:rPr>
        <w:tab/>
      </w:r>
      <w:r w:rsidRPr="00FD1278">
        <w:rPr>
          <w:rFonts w:ascii="Times New Roman" w:eastAsia="SimSun" w:hAnsi="Times New Roman"/>
          <w:kern w:val="2"/>
          <w:sz w:val="20"/>
          <w:szCs w:val="20"/>
          <w:lang w:eastAsia="ko-KR" w:bidi="ar-SA"/>
        </w:rPr>
        <w:tab/>
        <w:t xml:space="preserve">            (1)</w:t>
      </w:r>
    </w:p>
    <w:p w14:paraId="27C9455A" w14:textId="77777777" w:rsidR="004B05D3" w:rsidRPr="00FD1278" w:rsidRDefault="004B05D3" w:rsidP="004B05D3">
      <w:pPr>
        <w:widowControl w:val="0"/>
        <w:autoSpaceDE w:val="0"/>
        <w:autoSpaceDN w:val="0"/>
        <w:spacing w:after="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 xml:space="preserve">Δw = The recorded weight change of the feed solution, and Δt(h) = Experimental test time  </w:t>
      </w:r>
    </w:p>
    <w:p w14:paraId="29B723BD" w14:textId="77777777" w:rsidR="004B05D3" w:rsidRPr="00FD1278" w:rsidRDefault="004B05D3" w:rsidP="004B05D3">
      <w:pPr>
        <w:widowControl w:val="0"/>
        <w:autoSpaceDE w:val="0"/>
        <w:autoSpaceDN w:val="0"/>
        <w:spacing w:after="0"/>
        <w:jc w:val="both"/>
        <w:rPr>
          <w:rFonts w:ascii="Times New Roman" w:eastAsia="SimSun" w:hAnsi="Times New Roman"/>
          <w:b/>
          <w:bCs/>
          <w:i/>
          <w:iCs/>
          <w:kern w:val="2"/>
          <w:sz w:val="20"/>
          <w:szCs w:val="20"/>
          <w:lang w:eastAsia="ko-KR" w:bidi="ar-SA"/>
        </w:rPr>
      </w:pPr>
    </w:p>
    <w:p w14:paraId="28277835" w14:textId="326B1D67" w:rsidR="004B05D3" w:rsidRPr="00FD1278" w:rsidRDefault="004B05D3" w:rsidP="004B05D3">
      <w:pPr>
        <w:widowControl w:val="0"/>
        <w:autoSpaceDE w:val="0"/>
        <w:autoSpaceDN w:val="0"/>
        <w:spacing w:after="12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 xml:space="preserve">Equation (2) is used to calculate BPA rejection in the FO process </w:t>
      </w:r>
    </w:p>
    <w:p w14:paraId="397AEB38" w14:textId="3372B5C8" w:rsidR="004B05D3" w:rsidRPr="00FD1278" w:rsidRDefault="004B05D3" w:rsidP="004B05D3">
      <w:pPr>
        <w:widowControl w:val="0"/>
        <w:autoSpaceDE w:val="0"/>
        <w:autoSpaceDN w:val="0"/>
        <w:spacing w:after="120"/>
        <w:ind w:firstLine="720"/>
        <w:jc w:val="both"/>
        <w:rPr>
          <w:rFonts w:ascii="Times New Roman" w:eastAsia="SimSun" w:hAnsi="Times New Roman"/>
          <w:kern w:val="2"/>
          <w:sz w:val="20"/>
          <w:szCs w:val="20"/>
          <w:lang w:eastAsia="ko-KR" w:bidi="ar-SA"/>
        </w:rPr>
      </w:pPr>
      <w:r w:rsidRPr="00FD1278">
        <w:rPr>
          <w:rFonts w:ascii="Times New Roman" w:eastAsia="SimSun" w:hAnsi="Times New Roman"/>
          <w:kern w:val="2"/>
          <w:sz w:val="20"/>
          <w:szCs w:val="20"/>
          <w:lang w:eastAsia="ko-KR" w:bidi="ar-SA"/>
        </w:rPr>
        <w:t xml:space="preserve">R (%) = </w:t>
      </w:r>
      <m:oMath>
        <m:f>
          <m:fPr>
            <m:ctrlPr>
              <w:rPr>
                <w:rFonts w:ascii="Cambria Math" w:eastAsia="SimSun" w:hAnsi="Cambria Math"/>
                <w:i/>
                <w:kern w:val="2"/>
                <w:sz w:val="20"/>
                <w:szCs w:val="20"/>
                <w:lang w:eastAsia="ko-KR" w:bidi="ar-SA"/>
              </w:rPr>
            </m:ctrlPr>
          </m:fPr>
          <m:num>
            <m:r>
              <m:rPr>
                <m:sty m:val="p"/>
              </m:rPr>
              <w:rPr>
                <w:rFonts w:ascii="Cambria Math" w:eastAsia="SimSun" w:hAnsi="Cambria Math"/>
                <w:kern w:val="2"/>
                <w:sz w:val="20"/>
                <w:szCs w:val="20"/>
                <w:lang w:eastAsia="ko-KR" w:bidi="ar-SA"/>
              </w:rPr>
              <m:t>(</m:t>
            </m:r>
            <m:sSub>
              <m:sSubPr>
                <m:ctrlPr>
                  <w:rPr>
                    <w:rFonts w:ascii="Cambria Math" w:eastAsia="SimSun" w:hAnsi="Cambria Math"/>
                    <w:kern w:val="2"/>
                    <w:sz w:val="20"/>
                    <w:szCs w:val="20"/>
                    <w:lang w:eastAsia="ko-KR" w:bidi="ar-SA"/>
                  </w:rPr>
                </m:ctrlPr>
              </m:sSubPr>
              <m:e>
                <m:r>
                  <m:rPr>
                    <m:sty m:val="p"/>
                  </m:rPr>
                  <w:rPr>
                    <w:rFonts w:ascii="Cambria Math" w:eastAsia="SimSun" w:hAnsi="Cambria Math"/>
                    <w:kern w:val="2"/>
                    <w:sz w:val="20"/>
                    <w:szCs w:val="20"/>
                    <w:lang w:eastAsia="ko-KR" w:bidi="ar-SA"/>
                  </w:rPr>
                  <m:t>C</m:t>
                </m:r>
              </m:e>
              <m:sub>
                <m:r>
                  <w:rPr>
                    <w:rFonts w:ascii="Cambria Math" w:eastAsia="SimSun" w:hAnsi="Cambria Math"/>
                    <w:kern w:val="2"/>
                    <w:sz w:val="20"/>
                    <w:szCs w:val="20"/>
                    <w:lang w:eastAsia="ko-KR" w:bidi="ar-SA"/>
                  </w:rPr>
                  <m:t>i</m:t>
                </m:r>
              </m:sub>
            </m:sSub>
            <m:r>
              <m:rPr>
                <m:sty m:val="p"/>
              </m:rPr>
              <w:rPr>
                <w:rFonts w:ascii="Cambria Math" w:eastAsia="SimSun" w:hAnsi="Cambria Math"/>
                <w:kern w:val="2"/>
                <w:sz w:val="20"/>
                <w:szCs w:val="20"/>
                <w:lang w:eastAsia="ko-KR" w:bidi="ar-SA"/>
              </w:rPr>
              <m:t xml:space="preserve"> – </m:t>
            </m:r>
            <m:sSub>
              <m:sSubPr>
                <m:ctrlPr>
                  <w:rPr>
                    <w:rFonts w:ascii="Cambria Math" w:eastAsia="SimSun" w:hAnsi="Cambria Math"/>
                    <w:kern w:val="2"/>
                    <w:sz w:val="20"/>
                    <w:szCs w:val="20"/>
                    <w:lang w:eastAsia="ko-KR" w:bidi="ar-SA"/>
                  </w:rPr>
                </m:ctrlPr>
              </m:sSubPr>
              <m:e>
                <m:r>
                  <w:rPr>
                    <w:rFonts w:ascii="Cambria Math" w:eastAsia="SimSun" w:hAnsi="Cambria Math"/>
                    <w:kern w:val="2"/>
                    <w:sz w:val="20"/>
                    <w:szCs w:val="20"/>
                    <w:lang w:eastAsia="ko-KR" w:bidi="ar-SA"/>
                  </w:rPr>
                  <m:t>C</m:t>
                </m:r>
              </m:e>
              <m:sub>
                <m:r>
                  <w:rPr>
                    <w:rFonts w:ascii="Cambria Math" w:eastAsia="SimSun" w:hAnsi="Cambria Math"/>
                    <w:kern w:val="2"/>
                    <w:sz w:val="20"/>
                    <w:szCs w:val="20"/>
                    <w:lang w:eastAsia="ko-KR" w:bidi="ar-SA"/>
                  </w:rPr>
                  <m:t>f</m:t>
                </m:r>
              </m:sub>
            </m:sSub>
            <m:r>
              <m:rPr>
                <m:sty m:val="p"/>
              </m:rPr>
              <w:rPr>
                <w:rFonts w:ascii="Cambria Math" w:eastAsia="SimSun" w:hAnsi="Cambria Math"/>
                <w:kern w:val="2"/>
                <w:sz w:val="20"/>
                <w:szCs w:val="20"/>
                <w:lang w:eastAsia="ko-KR" w:bidi="ar-SA"/>
              </w:rPr>
              <m:t>)</m:t>
            </m:r>
          </m:num>
          <m:den>
            <m:sSub>
              <m:sSubPr>
                <m:ctrlPr>
                  <w:rPr>
                    <w:rFonts w:ascii="Cambria Math" w:eastAsia="SimSun" w:hAnsi="Cambria Math"/>
                    <w:kern w:val="2"/>
                    <w:sz w:val="20"/>
                    <w:szCs w:val="20"/>
                    <w:lang w:eastAsia="ko-KR" w:bidi="ar-SA"/>
                  </w:rPr>
                </m:ctrlPr>
              </m:sSubPr>
              <m:e>
                <m:r>
                  <w:rPr>
                    <w:rFonts w:ascii="Cambria Math" w:eastAsia="SimSun" w:hAnsi="Cambria Math"/>
                    <w:kern w:val="2"/>
                    <w:sz w:val="20"/>
                    <w:szCs w:val="20"/>
                    <w:lang w:eastAsia="ko-KR" w:bidi="ar-SA"/>
                  </w:rPr>
                  <m:t>C</m:t>
                </m:r>
              </m:e>
              <m:sub>
                <m:r>
                  <w:rPr>
                    <w:rFonts w:ascii="Cambria Math" w:eastAsia="SimSun" w:hAnsi="Cambria Math"/>
                    <w:kern w:val="2"/>
                    <w:sz w:val="20"/>
                    <w:szCs w:val="20"/>
                    <w:lang w:eastAsia="ko-KR" w:bidi="ar-SA"/>
                  </w:rPr>
                  <m:t>f</m:t>
                </m:r>
              </m:sub>
            </m:sSub>
          </m:den>
        </m:f>
      </m:oMath>
      <w:r w:rsidRPr="00FD1278">
        <w:rPr>
          <w:rFonts w:ascii="Times New Roman" w:eastAsia="SimSun" w:hAnsi="Times New Roman"/>
          <w:kern w:val="2"/>
          <w:sz w:val="20"/>
          <w:szCs w:val="20"/>
          <w:lang w:eastAsia="ko-KR" w:bidi="ar-SA"/>
        </w:rPr>
        <w:tab/>
        <w:t xml:space="preserve"> x 100%</w:t>
      </w:r>
      <w:r w:rsidRPr="00FD1278">
        <w:rPr>
          <w:rFonts w:ascii="Times New Roman" w:eastAsia="SimSun" w:hAnsi="Times New Roman"/>
          <w:kern w:val="2"/>
          <w:sz w:val="20"/>
          <w:szCs w:val="20"/>
          <w:lang w:eastAsia="ko-KR" w:bidi="ar-SA"/>
        </w:rPr>
        <w:tab/>
      </w:r>
      <w:r w:rsidRPr="00FD1278">
        <w:rPr>
          <w:rFonts w:ascii="Times New Roman" w:eastAsia="SimSun" w:hAnsi="Times New Roman"/>
          <w:kern w:val="2"/>
          <w:sz w:val="20"/>
          <w:szCs w:val="20"/>
          <w:lang w:eastAsia="ko-KR" w:bidi="ar-SA"/>
        </w:rPr>
        <w:tab/>
        <w:t xml:space="preserve">          </w:t>
      </w:r>
      <w:r>
        <w:rPr>
          <w:rFonts w:ascii="Times New Roman" w:eastAsia="SimSun" w:hAnsi="Times New Roman"/>
          <w:kern w:val="2"/>
          <w:sz w:val="20"/>
          <w:szCs w:val="20"/>
          <w:lang w:eastAsia="ko-KR" w:bidi="ar-SA"/>
        </w:rPr>
        <w:t xml:space="preserve">  </w:t>
      </w:r>
      <w:r w:rsidRPr="00FD1278">
        <w:rPr>
          <w:rFonts w:ascii="Times New Roman" w:eastAsia="SimSun" w:hAnsi="Times New Roman"/>
          <w:kern w:val="2"/>
          <w:sz w:val="20"/>
          <w:szCs w:val="20"/>
          <w:lang w:eastAsia="ko-KR" w:bidi="ar-SA"/>
        </w:rPr>
        <w:t>(2)</w:t>
      </w:r>
    </w:p>
    <w:p w14:paraId="779B80C8" w14:textId="5271C1D2" w:rsidR="004B05D3" w:rsidRPr="00AE21A4" w:rsidRDefault="004B05D3" w:rsidP="00FD1278">
      <w:pPr>
        <w:widowControl w:val="0"/>
        <w:autoSpaceDE w:val="0"/>
        <w:autoSpaceDN w:val="0"/>
        <w:spacing w:after="0"/>
        <w:jc w:val="both"/>
        <w:rPr>
          <w:rFonts w:ascii="Times New Roman" w:eastAsia="SimSun" w:hAnsi="Times New Roman"/>
          <w:kern w:val="2"/>
          <w:sz w:val="20"/>
          <w:szCs w:val="20"/>
          <w:lang w:eastAsia="ko-KR" w:bidi="ar-SA"/>
        </w:rPr>
        <w:sectPr w:rsidR="004B05D3" w:rsidRPr="00AE21A4" w:rsidSect="004B05D3">
          <w:footerReference w:type="default" r:id="rId17"/>
          <w:type w:val="continuous"/>
          <w:pgSz w:w="12240" w:h="15840" w:code="1"/>
          <w:pgMar w:top="1800" w:right="1469" w:bottom="1699" w:left="1440" w:header="706" w:footer="706" w:gutter="0"/>
          <w:pgNumType w:start="1"/>
          <w:cols w:num="2" w:space="403"/>
          <w:docGrid w:linePitch="360"/>
        </w:sectPr>
      </w:pPr>
      <w:r w:rsidRPr="00FD1278">
        <w:rPr>
          <w:rFonts w:ascii="Times New Roman" w:eastAsia="SimSun" w:hAnsi="Times New Roman"/>
          <w:kern w:val="2"/>
          <w:sz w:val="20"/>
          <w:szCs w:val="20"/>
          <w:lang w:eastAsia="ko-KR" w:bidi="ar-SA"/>
        </w:rPr>
        <w:t>where, R = The rejection percentage of BPA, C</w:t>
      </w:r>
      <w:r w:rsidRPr="00FD1278">
        <w:rPr>
          <w:rFonts w:ascii="Times New Roman" w:eastAsia="SimSun" w:hAnsi="Times New Roman"/>
          <w:kern w:val="2"/>
          <w:sz w:val="20"/>
          <w:szCs w:val="20"/>
          <w:vertAlign w:val="subscript"/>
          <w:lang w:eastAsia="ko-KR" w:bidi="ar-SA"/>
        </w:rPr>
        <w:t xml:space="preserve">i </w:t>
      </w:r>
      <w:r w:rsidRPr="00FD1278">
        <w:rPr>
          <w:rFonts w:ascii="Times New Roman" w:eastAsia="SimSun" w:hAnsi="Times New Roman"/>
          <w:kern w:val="2"/>
          <w:sz w:val="20"/>
          <w:szCs w:val="20"/>
          <w:lang w:eastAsia="ko-KR" w:bidi="ar-SA"/>
        </w:rPr>
        <w:t>= Concentration of BPA in the feed solution at the start of the experiment (mg/L), and C</w:t>
      </w:r>
      <w:r w:rsidRPr="00FD1278">
        <w:rPr>
          <w:rFonts w:ascii="Times New Roman" w:eastAsia="SimSun" w:hAnsi="Times New Roman"/>
          <w:kern w:val="2"/>
          <w:sz w:val="20"/>
          <w:szCs w:val="20"/>
          <w:vertAlign w:val="subscript"/>
          <w:lang w:eastAsia="ko-KR" w:bidi="ar-SA"/>
        </w:rPr>
        <w:t xml:space="preserve">f </w:t>
      </w:r>
      <w:r w:rsidRPr="00FD1278">
        <w:rPr>
          <w:rFonts w:ascii="Times New Roman" w:eastAsia="SimSun" w:hAnsi="Times New Roman"/>
          <w:kern w:val="2"/>
          <w:sz w:val="20"/>
          <w:szCs w:val="20"/>
          <w:lang w:eastAsia="ko-KR" w:bidi="ar-SA"/>
        </w:rPr>
        <w:t>= Final concentration of BPA in the draw solution after the experiment (mg/L).</w:t>
      </w:r>
    </w:p>
    <w:p w14:paraId="0DC99362" w14:textId="62F481F7" w:rsidR="00AE21A4" w:rsidRDefault="00AE21A4" w:rsidP="00FD1278">
      <w:pPr>
        <w:spacing w:after="0"/>
        <w:jc w:val="both"/>
        <w:rPr>
          <w:rFonts w:ascii="Times New Roman" w:hAnsi="Times New Roman"/>
          <w:sz w:val="20"/>
          <w:szCs w:val="16"/>
          <w:lang w:bidi="ar-SA"/>
        </w:rPr>
        <w:sectPr w:rsidR="00AE21A4" w:rsidSect="00AE21A4">
          <w:type w:val="continuous"/>
          <w:pgSz w:w="12240" w:h="15840" w:code="1"/>
          <w:pgMar w:top="1800" w:right="1469" w:bottom="1699" w:left="1440" w:header="706" w:footer="706" w:gutter="0"/>
          <w:pgNumType w:start="1"/>
          <w:cols w:num="2" w:space="403"/>
          <w:docGrid w:linePitch="360"/>
        </w:sectPr>
      </w:pPr>
    </w:p>
    <w:p w14:paraId="059C314E" w14:textId="14A9179F" w:rsidR="009A053A" w:rsidRDefault="00AE21A4" w:rsidP="00240376">
      <w:pPr>
        <w:spacing w:after="0"/>
        <w:jc w:val="center"/>
        <w:rPr>
          <w:rFonts w:asciiTheme="majorBidi" w:eastAsiaTheme="majorEastAsia" w:hAnsiTheme="majorBidi" w:cstheme="majorBidi"/>
          <w:sz w:val="20"/>
          <w:szCs w:val="18"/>
        </w:rPr>
        <w:sectPr w:rsidR="009A053A" w:rsidSect="006956AB">
          <w:type w:val="continuous"/>
          <w:pgSz w:w="12240" w:h="15840" w:code="1"/>
          <w:pgMar w:top="1800" w:right="1469" w:bottom="1699" w:left="1440" w:header="706" w:footer="706" w:gutter="0"/>
          <w:pgNumType w:start="1"/>
          <w:cols w:space="708"/>
          <w:docGrid w:linePitch="360"/>
        </w:sectPr>
      </w:pPr>
      <w:r w:rsidRPr="004E21B7">
        <w:rPr>
          <w:noProof/>
          <w:lang w:val="en-AU" w:eastAsia="zh-CN"/>
        </w:rPr>
        <w:drawing>
          <wp:anchor distT="0" distB="0" distL="114300" distR="114300" simplePos="0" relativeHeight="251658240" behindDoc="0" locked="0" layoutInCell="1" allowOverlap="1" wp14:anchorId="1A0072BB" wp14:editId="66EF3E27">
            <wp:simplePos x="914400" y="7208520"/>
            <wp:positionH relativeFrom="column">
              <wp:align>left</wp:align>
            </wp:positionH>
            <wp:positionV relativeFrom="paragraph">
              <wp:align>top</wp:align>
            </wp:positionV>
            <wp:extent cx="5120640" cy="1719072"/>
            <wp:effectExtent l="0" t="0" r="3810" b="0"/>
            <wp:wrapSquare wrapText="bothSides"/>
            <wp:docPr id="3" name="Picture 3"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120640" cy="1719072"/>
                    </a:xfrm>
                    <a:prstGeom prst="rect">
                      <a:avLst/>
                    </a:prstGeom>
                  </pic:spPr>
                </pic:pic>
              </a:graphicData>
            </a:graphic>
          </wp:anchor>
        </w:drawing>
      </w:r>
      <w:r w:rsidR="008B0258">
        <w:rPr>
          <w:rFonts w:ascii="Times New Roman" w:eastAsia="SimSun" w:hAnsi="Times New Roman"/>
          <w:kern w:val="2"/>
          <w:sz w:val="20"/>
          <w:szCs w:val="20"/>
          <w:lang w:eastAsia="ko-KR" w:bidi="ar-SA"/>
        </w:rPr>
        <w:br w:type="textWrapping" w:clear="all"/>
      </w:r>
      <w:r w:rsidR="00240376" w:rsidRPr="00C844C6">
        <w:rPr>
          <w:rFonts w:asciiTheme="majorBidi" w:eastAsiaTheme="majorEastAsia" w:hAnsiTheme="majorBidi" w:cstheme="majorBidi"/>
          <w:sz w:val="20"/>
          <w:szCs w:val="18"/>
        </w:rPr>
        <w:t xml:space="preserve">Figure 2. </w:t>
      </w:r>
      <w:r w:rsidR="00240376">
        <w:rPr>
          <w:rFonts w:asciiTheme="majorBidi" w:eastAsiaTheme="majorEastAsia" w:hAnsiTheme="majorBidi" w:cstheme="majorBidi"/>
          <w:sz w:val="20"/>
          <w:szCs w:val="18"/>
        </w:rPr>
        <w:t xml:space="preserve"> </w:t>
      </w:r>
      <w:r w:rsidR="00240376" w:rsidRPr="00C844C6">
        <w:rPr>
          <w:rFonts w:asciiTheme="majorBidi" w:eastAsiaTheme="majorEastAsia" w:hAnsiTheme="majorBidi" w:cstheme="majorBidi"/>
          <w:sz w:val="20"/>
          <w:szCs w:val="18"/>
        </w:rPr>
        <w:t>Illustration diagram of the forward osmosis setup (AL-F</w:t>
      </w:r>
      <w:r w:rsidR="005453A6">
        <w:rPr>
          <w:rFonts w:asciiTheme="majorBidi" w:eastAsiaTheme="majorEastAsia" w:hAnsiTheme="majorBidi" w:cstheme="majorBidi"/>
          <w:sz w:val="20"/>
          <w:szCs w:val="18"/>
        </w:rPr>
        <w:t>S mo</w:t>
      </w:r>
      <w:r w:rsidR="00A02054">
        <w:rPr>
          <w:rFonts w:asciiTheme="majorBidi" w:eastAsiaTheme="majorEastAsia" w:hAnsiTheme="majorBidi" w:cstheme="majorBidi"/>
          <w:sz w:val="20"/>
          <w:szCs w:val="18"/>
        </w:rPr>
        <w:t>de)</w:t>
      </w:r>
    </w:p>
    <w:p w14:paraId="120CF132" w14:textId="77777777" w:rsidR="00240376" w:rsidRDefault="00240376" w:rsidP="009A053A">
      <w:pPr>
        <w:spacing w:after="0"/>
        <w:rPr>
          <w:rFonts w:asciiTheme="majorBidi" w:eastAsiaTheme="majorEastAsia" w:hAnsiTheme="majorBidi" w:cstheme="majorBidi"/>
          <w:sz w:val="20"/>
          <w:szCs w:val="18"/>
        </w:rPr>
      </w:pPr>
    </w:p>
    <w:p w14:paraId="55BA7AFD" w14:textId="77777777" w:rsidR="000E51FC" w:rsidRDefault="000E51FC" w:rsidP="000E51FC">
      <w:pPr>
        <w:widowControl w:val="0"/>
        <w:wordWrap w:val="0"/>
        <w:autoSpaceDE w:val="0"/>
        <w:autoSpaceDN w:val="0"/>
        <w:spacing w:after="0"/>
        <w:jc w:val="center"/>
        <w:outlineLvl w:val="0"/>
        <w:rPr>
          <w:rFonts w:ascii="Times New Roman" w:eastAsia="SimSun" w:hAnsi="Times New Roman"/>
          <w:b/>
          <w:kern w:val="2"/>
          <w:sz w:val="20"/>
          <w:szCs w:val="20"/>
          <w:lang w:eastAsia="ko-KR" w:bidi="ar-SA"/>
        </w:rPr>
        <w:sectPr w:rsidR="000E51FC" w:rsidSect="003509E2">
          <w:headerReference w:type="even" r:id="rId19"/>
          <w:footerReference w:type="even" r:id="rId20"/>
          <w:type w:val="evenPage"/>
          <w:pgSz w:w="12240" w:h="15840" w:code="1"/>
          <w:pgMar w:top="1800" w:right="1469" w:bottom="1699" w:left="1440" w:header="706" w:footer="706" w:gutter="0"/>
          <w:pgNumType w:start="1"/>
          <w:cols w:space="708"/>
          <w:docGrid w:linePitch="360"/>
        </w:sectPr>
      </w:pPr>
    </w:p>
    <w:p w14:paraId="158DC9CF" w14:textId="77777777" w:rsidR="000E51FC" w:rsidRPr="00C844C6" w:rsidRDefault="000E51FC" w:rsidP="000E51FC">
      <w:pPr>
        <w:widowControl w:val="0"/>
        <w:wordWrap w:val="0"/>
        <w:autoSpaceDE w:val="0"/>
        <w:autoSpaceDN w:val="0"/>
        <w:spacing w:after="0"/>
        <w:jc w:val="center"/>
        <w:outlineLvl w:val="0"/>
        <w:rPr>
          <w:rFonts w:ascii="Times New Roman" w:eastAsia="SimSun" w:hAnsi="Times New Roman"/>
          <w:b/>
          <w:kern w:val="2"/>
          <w:sz w:val="20"/>
          <w:szCs w:val="20"/>
          <w:lang w:eastAsia="ko-KR" w:bidi="ar-SA"/>
        </w:rPr>
      </w:pPr>
      <w:r w:rsidRPr="00C844C6">
        <w:rPr>
          <w:rFonts w:ascii="Times New Roman" w:eastAsia="SimSun" w:hAnsi="Times New Roman"/>
          <w:b/>
          <w:kern w:val="2"/>
          <w:sz w:val="20"/>
          <w:szCs w:val="20"/>
          <w:lang w:eastAsia="ko-KR" w:bidi="ar-SA"/>
        </w:rPr>
        <w:t>Results and Discussion</w:t>
      </w:r>
    </w:p>
    <w:p w14:paraId="7B83B7FA" w14:textId="77777777" w:rsidR="000E51FC" w:rsidRPr="00C844C6" w:rsidRDefault="000E51FC" w:rsidP="000E51FC">
      <w:pPr>
        <w:widowControl w:val="0"/>
        <w:wordWrap w:val="0"/>
        <w:autoSpaceDE w:val="0"/>
        <w:autoSpaceDN w:val="0"/>
        <w:spacing w:after="0"/>
        <w:jc w:val="both"/>
        <w:rPr>
          <w:rFonts w:ascii="Times New Roman" w:eastAsia="SimSun" w:hAnsi="Times New Roman"/>
          <w:b/>
          <w:bCs/>
          <w:kern w:val="2"/>
          <w:sz w:val="20"/>
          <w:szCs w:val="20"/>
          <w:lang w:eastAsia="ko-KR" w:bidi="ar-SA"/>
        </w:rPr>
      </w:pPr>
      <w:r w:rsidRPr="00C844C6">
        <w:rPr>
          <w:rFonts w:ascii="Times New Roman" w:eastAsia="SimSun" w:hAnsi="Times New Roman"/>
          <w:b/>
          <w:bCs/>
          <w:kern w:val="2"/>
          <w:sz w:val="20"/>
          <w:szCs w:val="20"/>
          <w:lang w:eastAsia="ko-KR" w:bidi="ar-SA"/>
        </w:rPr>
        <w:t>Morphological analysis (FESEM)</w:t>
      </w:r>
    </w:p>
    <w:p w14:paraId="46D43322" w14:textId="77777777" w:rsidR="000E51FC" w:rsidRDefault="000E51FC" w:rsidP="000E51FC">
      <w:pPr>
        <w:widowControl w:val="0"/>
        <w:wordWrap w:val="0"/>
        <w:autoSpaceDE w:val="0"/>
        <w:autoSpaceDN w:val="0"/>
        <w:spacing w:after="0"/>
        <w:jc w:val="both"/>
        <w:rPr>
          <w:rFonts w:ascii="Times New Roman" w:eastAsia="SimSun" w:hAnsi="Times New Roman"/>
          <w:kern w:val="2"/>
          <w:sz w:val="20"/>
          <w:lang w:eastAsia="ko-KR" w:bidi="ar-SA"/>
        </w:rPr>
      </w:pPr>
      <w:r w:rsidRPr="00C844C6">
        <w:rPr>
          <w:rFonts w:ascii="Times New Roman" w:eastAsia="SimSun" w:hAnsi="Times New Roman"/>
          <w:kern w:val="2"/>
          <w:sz w:val="20"/>
          <w:lang w:eastAsia="ko-KR" w:bidi="ar-SA"/>
        </w:rPr>
        <w:t xml:space="preserve">The morphological structures of the surface and cross-section of the PA-TFC membrane were examined using FESEM (Zeiss, supra 55VP). In addition, the FESEM images were used to confirm the presence of the selective layer (PA layer) on top of the PSF membrane substrate. As depicted in </w:t>
      </w:r>
      <w:r w:rsidRPr="00A02054">
        <w:rPr>
          <w:rFonts w:ascii="Times New Roman" w:eastAsia="SimSun" w:hAnsi="Times New Roman"/>
          <w:kern w:val="2"/>
          <w:sz w:val="20"/>
          <w:lang w:eastAsia="ko-KR" w:bidi="ar-SA"/>
        </w:rPr>
        <w:t>Figure 3a</w:t>
      </w:r>
      <w:r w:rsidRPr="00C844C6">
        <w:rPr>
          <w:rFonts w:ascii="Times New Roman" w:eastAsia="SimSun" w:hAnsi="Times New Roman"/>
          <w:kern w:val="2"/>
          <w:sz w:val="20"/>
          <w:lang w:eastAsia="ko-KR" w:bidi="ar-SA"/>
        </w:rPr>
        <w:t xml:space="preserve">, the thin polyamide layer can be seen on top of the PSf membrane substrate, which contains dense and porous layers. The denser layer of the membrane was found on top of the porous support layer, and it was believed to be a polyamide thin-film layer formed via interfacial polymerization. This morphological evidence indicates that the membrane's rejection capability is improving while its permeability is decreasing [33]. According to Khorshidi et al., one disadvantage of the denser layer of the membrane is the low water flow, and the only option to address this issue is for the dense layer to be extremely thin. The PA selective layer as depicted in Figure 3a was estimated to be roughly 4.4µm thick, which is sufficient because the typical thickness of PA thin film is around 200nm. The </w:t>
      </w:r>
      <w:r w:rsidRPr="00C844C6">
        <w:rPr>
          <w:rFonts w:ascii="Times New Roman" w:eastAsia="SimSun" w:hAnsi="Times New Roman"/>
          <w:kern w:val="2"/>
          <w:sz w:val="20"/>
          <w:lang w:eastAsia="ko-KR" w:bidi="ar-SA"/>
        </w:rPr>
        <w:t>thickness of the PA layer is proportional to the concentration of TMC, which best explains the formation of the PA layer because low TMC concentrations were used in the preparation of the membrane (0.05%) [30]</w:t>
      </w:r>
      <w:r>
        <w:rPr>
          <w:rFonts w:ascii="Times New Roman" w:eastAsia="SimSun" w:hAnsi="Times New Roman"/>
          <w:kern w:val="2"/>
          <w:sz w:val="20"/>
          <w:lang w:eastAsia="ko-KR" w:bidi="ar-SA"/>
        </w:rPr>
        <w:t>.</w:t>
      </w:r>
    </w:p>
    <w:p w14:paraId="3BF08E78" w14:textId="77777777" w:rsidR="00732772" w:rsidRDefault="00732772" w:rsidP="00732772">
      <w:pPr>
        <w:spacing w:after="0"/>
        <w:jc w:val="both"/>
        <w:rPr>
          <w:rFonts w:asciiTheme="majorBidi" w:eastAsiaTheme="majorEastAsia" w:hAnsiTheme="majorBidi" w:cstheme="majorBidi"/>
          <w:sz w:val="20"/>
          <w:szCs w:val="18"/>
        </w:rPr>
      </w:pPr>
    </w:p>
    <w:p w14:paraId="364749F3" w14:textId="77777777" w:rsidR="00732772" w:rsidRDefault="00732772" w:rsidP="00732772">
      <w:pPr>
        <w:spacing w:after="0"/>
        <w:jc w:val="both"/>
        <w:rPr>
          <w:rFonts w:asciiTheme="majorBidi" w:eastAsiaTheme="majorEastAsia" w:hAnsiTheme="majorBidi" w:cstheme="majorBidi"/>
          <w:sz w:val="20"/>
          <w:szCs w:val="18"/>
        </w:rPr>
      </w:pPr>
      <w:r w:rsidRPr="00360945">
        <w:rPr>
          <w:rFonts w:asciiTheme="majorBidi" w:eastAsiaTheme="majorEastAsia" w:hAnsiTheme="majorBidi" w:cstheme="majorBidi"/>
          <w:sz w:val="20"/>
          <w:szCs w:val="18"/>
        </w:rPr>
        <w:t xml:space="preserve">There is a difference in the membrane surface appearance between the PSf and PA-TFC membranes, as shown by the FESEM surface images in </w:t>
      </w:r>
      <w:r w:rsidRPr="00A02054">
        <w:rPr>
          <w:rFonts w:asciiTheme="majorBidi" w:eastAsiaTheme="majorEastAsia" w:hAnsiTheme="majorBidi" w:cstheme="majorBidi"/>
          <w:sz w:val="20"/>
          <w:szCs w:val="18"/>
        </w:rPr>
        <w:t>Figures 3(b) and 3(c)</w:t>
      </w:r>
      <w:r w:rsidRPr="00360945">
        <w:rPr>
          <w:rFonts w:asciiTheme="majorBidi" w:eastAsiaTheme="majorEastAsia" w:hAnsiTheme="majorBidi" w:cstheme="majorBidi"/>
          <w:sz w:val="20"/>
          <w:szCs w:val="18"/>
        </w:rPr>
        <w:t>. The PSf substrate has a smooth and porous surface, but the PA-TFC membrane has a ridge-and-valley structure that results in a rough surface texture, as shown in Figure 3(b). The PSf membrane substrate has a porous structure with long finger-like pores formed under a thin sponge-like layer, making it excellent for FO membranes to minimize the structural parameters. The polyamide layer produced in this study has a ridge-valley structure, which is typical of TFC polyamide membranes prepared with the monomers MPD and TMC [34]. Miao et al. found that the ridge-and-valley structure is a significant indicator of the formation of the polyamide layer on the PSf membrane [35].</w:t>
      </w:r>
    </w:p>
    <w:p w14:paraId="714780E4" w14:textId="77777777" w:rsidR="00732772" w:rsidRDefault="00732772" w:rsidP="00732772">
      <w:pPr>
        <w:spacing w:after="0"/>
        <w:jc w:val="both"/>
        <w:rPr>
          <w:rFonts w:asciiTheme="majorBidi" w:eastAsiaTheme="majorEastAsia" w:hAnsiTheme="majorBidi" w:cstheme="majorBidi"/>
          <w:sz w:val="20"/>
          <w:szCs w:val="18"/>
        </w:rPr>
        <w:sectPr w:rsidR="00732772" w:rsidSect="000E51FC">
          <w:type w:val="continuous"/>
          <w:pgSz w:w="12240" w:h="15840" w:code="1"/>
          <w:pgMar w:top="1800" w:right="1469" w:bottom="1699" w:left="1440" w:header="706" w:footer="706" w:gutter="0"/>
          <w:pgNumType w:start="1"/>
          <w:cols w:num="2" w:space="403"/>
          <w:docGrid w:linePitch="360"/>
        </w:sectPr>
      </w:pPr>
    </w:p>
    <w:p w14:paraId="03F1276C" w14:textId="54C89F9A" w:rsidR="00732772" w:rsidRDefault="00732772" w:rsidP="00732772">
      <w:pPr>
        <w:spacing w:after="0"/>
        <w:rPr>
          <w:rFonts w:asciiTheme="majorBidi" w:eastAsiaTheme="majorEastAsia" w:hAnsiTheme="majorBidi" w:cstheme="majorBidi"/>
          <w:sz w:val="20"/>
          <w:szCs w:val="18"/>
        </w:rPr>
      </w:pPr>
    </w:p>
    <w:p w14:paraId="2F9FBBE0" w14:textId="77777777" w:rsidR="00732772" w:rsidRDefault="00732772" w:rsidP="00732772">
      <w:pPr>
        <w:spacing w:after="0"/>
        <w:rPr>
          <w:rFonts w:asciiTheme="majorBidi" w:eastAsiaTheme="majorEastAsia" w:hAnsiTheme="majorBidi" w:cstheme="majorBidi"/>
          <w:sz w:val="20"/>
          <w:szCs w:val="18"/>
        </w:rPr>
      </w:pPr>
    </w:p>
    <w:p w14:paraId="54BA3B85" w14:textId="77777777" w:rsidR="00732772" w:rsidRDefault="00732772" w:rsidP="00732772">
      <w:pPr>
        <w:spacing w:after="120"/>
        <w:jc w:val="center"/>
        <w:rPr>
          <w:rFonts w:asciiTheme="majorBidi" w:eastAsiaTheme="majorEastAsia" w:hAnsiTheme="majorBidi" w:cstheme="majorBidi"/>
          <w:sz w:val="20"/>
          <w:szCs w:val="18"/>
        </w:rPr>
      </w:pPr>
      <w:r>
        <w:rPr>
          <w:rFonts w:ascii="Times New Roman" w:hAnsi="Times New Roman"/>
          <w:noProof/>
          <w:sz w:val="20"/>
          <w:szCs w:val="20"/>
          <w:lang w:bidi="ar-SA"/>
        </w:rPr>
        <w:drawing>
          <wp:inline distT="0" distB="0" distL="0" distR="0" wp14:anchorId="5D58C0DB" wp14:editId="30EB7A89">
            <wp:extent cx="4562856" cy="3044952"/>
            <wp:effectExtent l="0" t="0" r="952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62856" cy="3044952"/>
                    </a:xfrm>
                    <a:prstGeom prst="rect">
                      <a:avLst/>
                    </a:prstGeom>
                    <a:noFill/>
                  </pic:spPr>
                </pic:pic>
              </a:graphicData>
            </a:graphic>
          </wp:inline>
        </w:drawing>
      </w:r>
    </w:p>
    <w:p w14:paraId="078A3D27" w14:textId="77777777" w:rsidR="00732772" w:rsidRDefault="00732772" w:rsidP="00732772">
      <w:pPr>
        <w:widowControl w:val="0"/>
        <w:wordWrap w:val="0"/>
        <w:autoSpaceDE w:val="0"/>
        <w:autoSpaceDN w:val="0"/>
        <w:spacing w:after="0" w:line="240" w:lineRule="auto"/>
        <w:ind w:left="810" w:hanging="810"/>
        <w:jc w:val="both"/>
        <w:rPr>
          <w:rFonts w:ascii="Times New Roman" w:eastAsia="SimSun" w:hAnsi="Times New Roman"/>
          <w:kern w:val="2"/>
          <w:sz w:val="20"/>
          <w:szCs w:val="20"/>
          <w:lang w:eastAsia="ko-KR" w:bidi="ar-SA"/>
        </w:rPr>
      </w:pPr>
      <w:r w:rsidRPr="009A5862">
        <w:rPr>
          <w:rFonts w:ascii="Times New Roman" w:eastAsia="SimSun" w:hAnsi="Times New Roman"/>
          <w:kern w:val="2"/>
          <w:sz w:val="20"/>
          <w:szCs w:val="20"/>
          <w:lang w:eastAsia="ko-KR" w:bidi="ar-SA"/>
        </w:rPr>
        <w:t xml:space="preserve">Figure 3. </w:t>
      </w:r>
      <w:r>
        <w:rPr>
          <w:rFonts w:ascii="Times New Roman" w:eastAsia="SimSun" w:hAnsi="Times New Roman"/>
          <w:kern w:val="2"/>
          <w:sz w:val="20"/>
          <w:szCs w:val="20"/>
          <w:lang w:eastAsia="ko-KR" w:bidi="ar-SA"/>
        </w:rPr>
        <w:tab/>
      </w:r>
      <w:r w:rsidRPr="009A5862">
        <w:rPr>
          <w:rFonts w:ascii="Times New Roman" w:eastAsia="SimSun" w:hAnsi="Times New Roman"/>
          <w:kern w:val="2"/>
          <w:sz w:val="20"/>
          <w:szCs w:val="20"/>
          <w:lang w:eastAsia="ko-KR" w:bidi="ar-SA"/>
        </w:rPr>
        <w:t>FESEM top surface morphologies of (a) cross section images of the PA-TFC membrane, surface images of (b) Polysulfone substrate and (c) Polyamide-TFC membrane</w:t>
      </w:r>
    </w:p>
    <w:p w14:paraId="7AC4C03B" w14:textId="77777777" w:rsidR="00732772" w:rsidRDefault="00732772" w:rsidP="00732772">
      <w:pPr>
        <w:spacing w:after="0"/>
        <w:rPr>
          <w:rFonts w:asciiTheme="majorBidi" w:eastAsiaTheme="majorEastAsia" w:hAnsiTheme="majorBidi" w:cstheme="majorBidi"/>
          <w:sz w:val="20"/>
          <w:szCs w:val="18"/>
        </w:rPr>
      </w:pPr>
    </w:p>
    <w:p w14:paraId="415F1F31" w14:textId="77777777" w:rsidR="00A14201" w:rsidRDefault="00A14201" w:rsidP="00240376">
      <w:pPr>
        <w:spacing w:after="0"/>
        <w:jc w:val="both"/>
        <w:rPr>
          <w:rFonts w:asciiTheme="majorBidi" w:eastAsiaTheme="majorEastAsia" w:hAnsiTheme="majorBidi" w:cstheme="majorBidi"/>
          <w:b/>
          <w:bCs/>
          <w:sz w:val="20"/>
          <w:szCs w:val="18"/>
        </w:rPr>
        <w:sectPr w:rsidR="00A14201" w:rsidSect="00732772">
          <w:type w:val="continuous"/>
          <w:pgSz w:w="12240" w:h="15840" w:code="1"/>
          <w:pgMar w:top="1800" w:right="1469" w:bottom="1699" w:left="1440" w:header="706" w:footer="706" w:gutter="0"/>
          <w:pgNumType w:start="1"/>
          <w:cols w:space="403"/>
          <w:docGrid w:linePitch="360"/>
        </w:sectPr>
      </w:pPr>
    </w:p>
    <w:p w14:paraId="69EE425A" w14:textId="77777777" w:rsidR="00240376" w:rsidRPr="00125C09" w:rsidRDefault="00240376" w:rsidP="00240376">
      <w:pPr>
        <w:spacing w:after="0"/>
        <w:jc w:val="both"/>
        <w:rPr>
          <w:rFonts w:asciiTheme="majorBidi" w:eastAsiaTheme="majorEastAsia" w:hAnsiTheme="majorBidi" w:cstheme="majorBidi"/>
          <w:b/>
          <w:bCs/>
          <w:sz w:val="20"/>
          <w:szCs w:val="18"/>
        </w:rPr>
      </w:pPr>
      <w:r w:rsidRPr="00125C09">
        <w:rPr>
          <w:rFonts w:asciiTheme="majorBidi" w:eastAsiaTheme="majorEastAsia" w:hAnsiTheme="majorBidi" w:cstheme="majorBidi"/>
          <w:b/>
          <w:bCs/>
          <w:sz w:val="20"/>
          <w:szCs w:val="18"/>
        </w:rPr>
        <w:lastRenderedPageBreak/>
        <w:t xml:space="preserve">Fourier-transform infrared spectroscopy studies </w:t>
      </w:r>
    </w:p>
    <w:p w14:paraId="1F538941" w14:textId="77777777" w:rsidR="00321900" w:rsidRDefault="00240376" w:rsidP="00240376">
      <w:pPr>
        <w:spacing w:after="0"/>
        <w:jc w:val="both"/>
        <w:rPr>
          <w:rFonts w:asciiTheme="majorBidi" w:eastAsiaTheme="majorEastAsia" w:hAnsiTheme="majorBidi" w:cstheme="majorBidi"/>
          <w:sz w:val="20"/>
          <w:szCs w:val="18"/>
        </w:rPr>
      </w:pPr>
      <w:r w:rsidRPr="00360945">
        <w:rPr>
          <w:rFonts w:asciiTheme="majorBidi" w:eastAsiaTheme="majorEastAsia" w:hAnsiTheme="majorBidi" w:cstheme="majorBidi"/>
          <w:sz w:val="20"/>
          <w:szCs w:val="18"/>
        </w:rPr>
        <w:t xml:space="preserve">The top surface of the modified PA-TFC membrane and Polysulfone substrate layer was analyzed using FTIR to examine the chemical compositions. </w:t>
      </w:r>
      <w:r w:rsidRPr="00732772">
        <w:rPr>
          <w:rFonts w:asciiTheme="majorBidi" w:eastAsiaTheme="majorEastAsia" w:hAnsiTheme="majorBidi" w:cstheme="majorBidi"/>
          <w:sz w:val="20"/>
          <w:szCs w:val="18"/>
        </w:rPr>
        <w:t xml:space="preserve">Figure 4 </w:t>
      </w:r>
      <w:r w:rsidRPr="00360945">
        <w:rPr>
          <w:rFonts w:asciiTheme="majorBidi" w:eastAsiaTheme="majorEastAsia" w:hAnsiTheme="majorBidi" w:cstheme="majorBidi"/>
          <w:sz w:val="20"/>
          <w:szCs w:val="18"/>
        </w:rPr>
        <w:t xml:space="preserve">shows the IR spectra of the Polysulfone and PA-TFC membrane. The transmittance peak at wavelengths of 1150 cm-1 (O-S-O stretching), 1243 cm-1 (C-O-C stretching) and 1106 cm-1 (S=O stretching) are the characteristics of sulfone group. Also, the absorption at 1013 and 833 cm-1 are assigned to the C-H stretching of the polysulfone aromatic rings. The peaks at 1605, 1538, 1486, 1247, </w:t>
      </w:r>
      <w:r w:rsidRPr="00360945">
        <w:rPr>
          <w:rFonts w:asciiTheme="majorBidi" w:eastAsiaTheme="majorEastAsia" w:hAnsiTheme="majorBidi" w:cstheme="majorBidi"/>
          <w:sz w:val="20"/>
          <w:szCs w:val="18"/>
        </w:rPr>
        <w:t>997 and 750 cm-1 are attributed to C=O of the amide linkage, O-H bending of the carboxylic acid, C-H bending, C-N stretching, C=O stretching and C-Cl stretching, respectively. These observations indicate the formation of polyamide layer on the polysulfone substrate. The absorbance at 3320 cm-1 suggests the N-H stretching of the amine functional group, indicating that the polyamide structure was formed through the interfacial polymerization of MPD and TMC [36].</w:t>
      </w:r>
    </w:p>
    <w:p w14:paraId="42AD628B" w14:textId="77777777" w:rsidR="00A14201" w:rsidRDefault="00A14201" w:rsidP="00240376">
      <w:pPr>
        <w:spacing w:after="0"/>
        <w:jc w:val="both"/>
        <w:rPr>
          <w:rFonts w:asciiTheme="majorBidi" w:eastAsiaTheme="majorEastAsia" w:hAnsiTheme="majorBidi" w:cstheme="majorBidi"/>
          <w:sz w:val="20"/>
          <w:szCs w:val="18"/>
        </w:rPr>
      </w:pPr>
    </w:p>
    <w:p w14:paraId="10F4A45E" w14:textId="62C535CA" w:rsidR="00A14201" w:rsidRDefault="00A14201" w:rsidP="00240376">
      <w:pPr>
        <w:spacing w:after="0"/>
        <w:jc w:val="both"/>
        <w:rPr>
          <w:rFonts w:asciiTheme="majorBidi" w:eastAsiaTheme="majorEastAsia" w:hAnsiTheme="majorBidi" w:cstheme="majorBidi"/>
          <w:sz w:val="20"/>
          <w:szCs w:val="18"/>
        </w:rPr>
        <w:sectPr w:rsidR="00A14201" w:rsidSect="00732772">
          <w:footerReference w:type="default" r:id="rId22"/>
          <w:type w:val="continuous"/>
          <w:pgSz w:w="12240" w:h="15840" w:code="1"/>
          <w:pgMar w:top="1800" w:right="1469" w:bottom="1699" w:left="1440" w:header="706" w:footer="706" w:gutter="0"/>
          <w:pgNumType w:start="1"/>
          <w:cols w:num="2" w:space="403"/>
          <w:docGrid w:linePitch="360"/>
        </w:sectPr>
      </w:pPr>
    </w:p>
    <w:p w14:paraId="14525A08" w14:textId="05879246" w:rsidR="00321900" w:rsidRPr="008F5B82" w:rsidRDefault="00321900" w:rsidP="00240376">
      <w:pPr>
        <w:spacing w:after="0"/>
        <w:jc w:val="both"/>
        <w:rPr>
          <w:rFonts w:asciiTheme="majorBidi" w:eastAsiaTheme="majorEastAsia" w:hAnsiTheme="majorBidi" w:cstheme="majorBidi"/>
          <w:sz w:val="20"/>
          <w:szCs w:val="18"/>
        </w:rPr>
        <w:sectPr w:rsidR="00321900" w:rsidRPr="008F5B82" w:rsidSect="006956AB">
          <w:type w:val="continuous"/>
          <w:pgSz w:w="12240" w:h="15840" w:code="1"/>
          <w:pgMar w:top="1800" w:right="1469" w:bottom="1699" w:left="1440" w:header="706" w:footer="706" w:gutter="0"/>
          <w:pgNumType w:start="1"/>
          <w:cols w:num="2" w:space="403"/>
          <w:docGrid w:linePitch="360"/>
        </w:sectPr>
      </w:pPr>
    </w:p>
    <w:p w14:paraId="5A3D4373" w14:textId="3E47784F" w:rsidR="008F5B82" w:rsidRDefault="008F5B82" w:rsidP="008F5B82">
      <w:pPr>
        <w:spacing w:after="0" w:line="240" w:lineRule="auto"/>
        <w:jc w:val="center"/>
        <w:rPr>
          <w:rFonts w:ascii="Times New Roman" w:hAnsi="Times New Roman"/>
          <w:sz w:val="20"/>
          <w:szCs w:val="20"/>
          <w:lang w:bidi="ar-SA"/>
        </w:rPr>
      </w:pPr>
      <w:r w:rsidRPr="004E21B7">
        <w:rPr>
          <w:rFonts w:asciiTheme="majorBidi" w:hAnsiTheme="majorBidi" w:cstheme="majorBidi"/>
          <w:b/>
          <w:bCs/>
          <w:i/>
          <w:iCs/>
          <w:noProof/>
          <w:szCs w:val="20"/>
          <w:lang w:val="en-AU" w:eastAsia="zh-CN"/>
        </w:rPr>
        <w:drawing>
          <wp:inline distT="0" distB="0" distL="0" distR="0" wp14:anchorId="56DF3FB2" wp14:editId="7F05DB75">
            <wp:extent cx="4709160" cy="3264408"/>
            <wp:effectExtent l="0" t="0" r="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rotWithShape="1">
                    <a:blip r:embed="rId23" cstate="print">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rcRect l="13799" t="7771" r="11744"/>
                    <a:stretch/>
                  </pic:blipFill>
                  <pic:spPr bwMode="auto">
                    <a:xfrm>
                      <a:off x="0" y="0"/>
                      <a:ext cx="4709160" cy="3264408"/>
                    </a:xfrm>
                    <a:prstGeom prst="rect">
                      <a:avLst/>
                    </a:prstGeom>
                    <a:ln>
                      <a:noFill/>
                    </a:ln>
                    <a:extLst>
                      <a:ext uri="{53640926-AAD7-44D8-BBD7-CCE9431645EC}">
                        <a14:shadowObscured xmlns:a14="http://schemas.microsoft.com/office/drawing/2010/main"/>
                      </a:ext>
                    </a:extLst>
                  </pic:spPr>
                </pic:pic>
              </a:graphicData>
            </a:graphic>
          </wp:inline>
        </w:drawing>
      </w:r>
    </w:p>
    <w:p w14:paraId="00391E9F" w14:textId="60339420" w:rsidR="008F5B82" w:rsidRDefault="008F5B82" w:rsidP="008F5B82">
      <w:pPr>
        <w:spacing w:line="360" w:lineRule="auto"/>
        <w:jc w:val="center"/>
        <w:rPr>
          <w:rFonts w:asciiTheme="majorBidi" w:eastAsiaTheme="majorEastAsia" w:hAnsiTheme="majorBidi" w:cstheme="majorBidi"/>
          <w:sz w:val="20"/>
          <w:szCs w:val="18"/>
        </w:rPr>
      </w:pPr>
      <w:r w:rsidRPr="009A5862">
        <w:rPr>
          <w:rFonts w:asciiTheme="majorBidi" w:eastAsiaTheme="majorEastAsia" w:hAnsiTheme="majorBidi" w:cstheme="majorBidi"/>
          <w:sz w:val="20"/>
          <w:szCs w:val="18"/>
        </w:rPr>
        <w:t xml:space="preserve">Figure 4. </w:t>
      </w:r>
      <w:r>
        <w:rPr>
          <w:rFonts w:asciiTheme="majorBidi" w:eastAsiaTheme="majorEastAsia" w:hAnsiTheme="majorBidi" w:cstheme="majorBidi"/>
          <w:sz w:val="20"/>
          <w:szCs w:val="18"/>
        </w:rPr>
        <w:t xml:space="preserve"> </w:t>
      </w:r>
      <w:r w:rsidRPr="009A5862">
        <w:rPr>
          <w:rFonts w:asciiTheme="majorBidi" w:eastAsiaTheme="majorEastAsia" w:hAnsiTheme="majorBidi" w:cstheme="majorBidi"/>
          <w:sz w:val="20"/>
          <w:szCs w:val="18"/>
        </w:rPr>
        <w:t>FTIR Spectra of PA-TFC and PSf membranes</w:t>
      </w:r>
    </w:p>
    <w:p w14:paraId="35C67E5F" w14:textId="77777777" w:rsidR="008F5B82" w:rsidRDefault="008F5B82" w:rsidP="00240376">
      <w:pPr>
        <w:spacing w:after="0"/>
        <w:jc w:val="both"/>
        <w:rPr>
          <w:rFonts w:asciiTheme="majorBidi" w:eastAsiaTheme="majorEastAsia" w:hAnsiTheme="majorBidi" w:cstheme="majorBidi"/>
          <w:b/>
          <w:bCs/>
          <w:sz w:val="20"/>
          <w:szCs w:val="18"/>
        </w:rPr>
        <w:sectPr w:rsidR="008F5B82" w:rsidSect="00321900">
          <w:type w:val="continuous"/>
          <w:pgSz w:w="12240" w:h="15840" w:code="1"/>
          <w:pgMar w:top="1800" w:right="1469" w:bottom="1699" w:left="1440" w:header="706" w:footer="706" w:gutter="0"/>
          <w:pgNumType w:start="1"/>
          <w:cols w:space="403"/>
          <w:docGrid w:linePitch="360"/>
        </w:sectPr>
      </w:pPr>
    </w:p>
    <w:p w14:paraId="3655D649" w14:textId="4D484C5F" w:rsidR="00240376" w:rsidRPr="00125C09" w:rsidRDefault="00240376" w:rsidP="00240376">
      <w:pPr>
        <w:spacing w:after="0"/>
        <w:jc w:val="both"/>
        <w:rPr>
          <w:rFonts w:asciiTheme="majorBidi" w:eastAsiaTheme="majorEastAsia" w:hAnsiTheme="majorBidi" w:cstheme="majorBidi"/>
          <w:b/>
          <w:bCs/>
          <w:sz w:val="20"/>
          <w:szCs w:val="18"/>
        </w:rPr>
      </w:pPr>
      <w:r w:rsidRPr="00125C09">
        <w:rPr>
          <w:rFonts w:asciiTheme="majorBidi" w:eastAsiaTheme="majorEastAsia" w:hAnsiTheme="majorBidi" w:cstheme="majorBidi"/>
          <w:b/>
          <w:bCs/>
          <w:sz w:val="20"/>
          <w:szCs w:val="18"/>
        </w:rPr>
        <w:t>Atomic force microscopy</w:t>
      </w:r>
    </w:p>
    <w:p w14:paraId="624815D3" w14:textId="6A765567" w:rsidR="00FD07AF" w:rsidRPr="00094ADD" w:rsidRDefault="00240376" w:rsidP="00240376">
      <w:pPr>
        <w:spacing w:after="0"/>
        <w:jc w:val="both"/>
        <w:rPr>
          <w:rFonts w:asciiTheme="majorBidi" w:eastAsiaTheme="majorEastAsia" w:hAnsiTheme="majorBidi" w:cstheme="majorBidi"/>
          <w:sz w:val="20"/>
          <w:szCs w:val="18"/>
        </w:rPr>
        <w:sectPr w:rsidR="00FD07AF" w:rsidRPr="00094ADD" w:rsidSect="008F5B82">
          <w:type w:val="continuous"/>
          <w:pgSz w:w="12240" w:h="15840" w:code="1"/>
          <w:pgMar w:top="1800" w:right="1469" w:bottom="1699" w:left="1440" w:header="706" w:footer="706" w:gutter="0"/>
          <w:pgNumType w:start="1"/>
          <w:cols w:num="2" w:space="403"/>
          <w:docGrid w:linePitch="360"/>
        </w:sectPr>
      </w:pPr>
      <w:r w:rsidRPr="00360945">
        <w:rPr>
          <w:rFonts w:asciiTheme="majorBidi" w:eastAsiaTheme="majorEastAsia" w:hAnsiTheme="majorBidi" w:cstheme="majorBidi"/>
          <w:sz w:val="20"/>
          <w:szCs w:val="18"/>
        </w:rPr>
        <w:t>The AFM was utilized to examine the surface morphology of polyamide layer</w:t>
      </w:r>
      <w:r w:rsidR="00D36459">
        <w:rPr>
          <w:rFonts w:asciiTheme="majorBidi" w:eastAsiaTheme="majorEastAsia" w:hAnsiTheme="majorBidi" w:cstheme="majorBidi"/>
          <w:sz w:val="20"/>
          <w:szCs w:val="18"/>
        </w:rPr>
        <w:t xml:space="preserve"> (</w:t>
      </w:r>
      <w:r w:rsidR="00D36459" w:rsidRPr="00732772">
        <w:rPr>
          <w:rFonts w:asciiTheme="majorBidi" w:eastAsiaTheme="majorEastAsia" w:hAnsiTheme="majorBidi" w:cstheme="majorBidi"/>
          <w:sz w:val="20"/>
          <w:szCs w:val="18"/>
        </w:rPr>
        <w:t>Figure 5</w:t>
      </w:r>
      <w:r w:rsidR="00D36459">
        <w:rPr>
          <w:rFonts w:asciiTheme="majorBidi" w:eastAsiaTheme="majorEastAsia" w:hAnsiTheme="majorBidi" w:cstheme="majorBidi"/>
          <w:sz w:val="20"/>
          <w:szCs w:val="18"/>
        </w:rPr>
        <w:t>)</w:t>
      </w:r>
      <w:r w:rsidRPr="00360945">
        <w:rPr>
          <w:rFonts w:asciiTheme="majorBidi" w:eastAsiaTheme="majorEastAsia" w:hAnsiTheme="majorBidi" w:cstheme="majorBidi"/>
          <w:sz w:val="20"/>
          <w:szCs w:val="18"/>
        </w:rPr>
        <w:t>. The three-dimensional images show the PSf substrate and the coated TFC-PA membrane via interfacial polymerization with different top surface roughness. The PSf membrane has a smooth surface with a root mean square (RMS) value of 4.5nm while the TFC-PA membrane has a higher root mean square value of 20.76</w:t>
      </w:r>
      <w:r w:rsidR="008F5B82">
        <w:rPr>
          <w:rFonts w:asciiTheme="majorBidi" w:eastAsiaTheme="majorEastAsia" w:hAnsiTheme="majorBidi" w:cstheme="majorBidi"/>
          <w:sz w:val="20"/>
          <w:szCs w:val="18"/>
        </w:rPr>
        <w:t xml:space="preserve"> </w:t>
      </w:r>
      <w:r w:rsidRPr="00360945">
        <w:rPr>
          <w:rFonts w:asciiTheme="majorBidi" w:eastAsiaTheme="majorEastAsia" w:hAnsiTheme="majorBidi" w:cstheme="majorBidi"/>
          <w:sz w:val="20"/>
          <w:szCs w:val="18"/>
        </w:rPr>
        <w:t xml:space="preserve">nm with increased surface roughness. This is because the polyamide layer was effectively polymerized over the porous PSf substrate layer [37]. The polymerization of the PA layer results in increased ridge-and-valley </w:t>
      </w:r>
      <w:r w:rsidRPr="00360945">
        <w:rPr>
          <w:rFonts w:asciiTheme="majorBidi" w:eastAsiaTheme="majorEastAsia" w:hAnsiTheme="majorBidi" w:cstheme="majorBidi"/>
          <w:sz w:val="20"/>
          <w:szCs w:val="18"/>
        </w:rPr>
        <w:t>microstructure, raising the surface roughness value to 20.76nm. The increased surface roughness of the TFC membrane was also attributable to nodules generated on its surface as a result of MPD and TMC interaction. The advantage of having a higher surface roughness on the TFC membrane is that it will have a larger surface area for water to interact, resulting in a higher water flux performance for the membrane [38]. Morgan's theory states that the membrane roughness is related to the heterogeneity of different reactions between the amide and diacid chloride reactions following the initial formation of the Polyamide film [39].</w:t>
      </w:r>
    </w:p>
    <w:p w14:paraId="36549B01" w14:textId="1330245A" w:rsidR="00167645" w:rsidRPr="00167645" w:rsidRDefault="00167645" w:rsidP="00240376">
      <w:pPr>
        <w:spacing w:after="0"/>
        <w:jc w:val="both"/>
        <w:rPr>
          <w:rFonts w:asciiTheme="majorBidi" w:eastAsiaTheme="majorEastAsia" w:hAnsiTheme="majorBidi" w:cstheme="majorBidi"/>
          <w:sz w:val="20"/>
          <w:szCs w:val="18"/>
          <w:lang w:val="en-MY"/>
        </w:rPr>
        <w:sectPr w:rsidR="00167645" w:rsidRPr="00167645" w:rsidSect="00094ADD">
          <w:footerReference w:type="even" r:id="rId25"/>
          <w:type w:val="evenPage"/>
          <w:pgSz w:w="12240" w:h="15840" w:code="1"/>
          <w:pgMar w:top="1800" w:right="1469" w:bottom="1699" w:left="1440" w:header="706" w:footer="706" w:gutter="0"/>
          <w:pgNumType w:start="1"/>
          <w:cols w:num="2" w:space="403"/>
          <w:docGrid w:linePitch="360"/>
        </w:sectPr>
      </w:pPr>
    </w:p>
    <w:p w14:paraId="1AEAC7D3" w14:textId="77777777" w:rsidR="008F5B82" w:rsidRDefault="008F5B82" w:rsidP="00240376">
      <w:pPr>
        <w:spacing w:after="0"/>
        <w:jc w:val="both"/>
        <w:rPr>
          <w:rFonts w:asciiTheme="majorBidi" w:eastAsiaTheme="majorEastAsia" w:hAnsiTheme="majorBidi" w:cstheme="majorBidi"/>
          <w:sz w:val="20"/>
          <w:szCs w:val="18"/>
        </w:rPr>
        <w:sectPr w:rsidR="008F5B82" w:rsidSect="006956AB">
          <w:type w:val="continuous"/>
          <w:pgSz w:w="12240" w:h="15840" w:code="1"/>
          <w:pgMar w:top="1800" w:right="1469" w:bottom="1699" w:left="1440" w:header="706" w:footer="706" w:gutter="0"/>
          <w:pgNumType w:start="1"/>
          <w:cols w:num="2" w:space="403"/>
          <w:docGrid w:linePitch="360"/>
        </w:sectPr>
      </w:pPr>
    </w:p>
    <w:p w14:paraId="0D5D648C" w14:textId="77777777" w:rsidR="00167645" w:rsidRDefault="00167645" w:rsidP="00240376">
      <w:pPr>
        <w:spacing w:after="0"/>
        <w:jc w:val="both"/>
        <w:rPr>
          <w:rFonts w:asciiTheme="majorBidi" w:eastAsiaTheme="majorEastAsia" w:hAnsiTheme="majorBidi" w:cstheme="majorBidi"/>
          <w:b/>
          <w:bCs/>
          <w:sz w:val="20"/>
          <w:szCs w:val="18"/>
        </w:rPr>
        <w:sectPr w:rsidR="00167645" w:rsidSect="006956AB">
          <w:type w:val="continuous"/>
          <w:pgSz w:w="12240" w:h="15840" w:code="1"/>
          <w:pgMar w:top="1800" w:right="1469" w:bottom="1699" w:left="1440" w:header="706" w:footer="706" w:gutter="0"/>
          <w:pgNumType w:start="1"/>
          <w:cols w:num="2" w:space="403"/>
          <w:docGrid w:linePitch="360"/>
        </w:sectPr>
      </w:pPr>
    </w:p>
    <w:p w14:paraId="65451674" w14:textId="267B4BAA" w:rsidR="00094ADD" w:rsidRDefault="00167645" w:rsidP="00094ADD">
      <w:pPr>
        <w:spacing w:after="120"/>
        <w:jc w:val="center"/>
        <w:rPr>
          <w:rFonts w:asciiTheme="majorBidi" w:eastAsiaTheme="majorEastAsia" w:hAnsiTheme="majorBidi" w:cstheme="majorBidi"/>
          <w:sz w:val="20"/>
          <w:szCs w:val="18"/>
        </w:rPr>
      </w:pPr>
      <w:r>
        <w:rPr>
          <w:rFonts w:asciiTheme="majorBidi" w:eastAsiaTheme="majorEastAsia" w:hAnsiTheme="majorBidi" w:cstheme="majorBidi"/>
          <w:noProof/>
          <w:sz w:val="20"/>
          <w:szCs w:val="18"/>
        </w:rPr>
        <w:drawing>
          <wp:inline distT="0" distB="0" distL="0" distR="0" wp14:anchorId="22F566A3" wp14:editId="63766381">
            <wp:extent cx="5001768" cy="2066544"/>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01768" cy="2066544"/>
                    </a:xfrm>
                    <a:prstGeom prst="rect">
                      <a:avLst/>
                    </a:prstGeom>
                    <a:noFill/>
                  </pic:spPr>
                </pic:pic>
              </a:graphicData>
            </a:graphic>
          </wp:inline>
        </w:drawing>
      </w:r>
      <w:bookmarkStart w:id="2" w:name="_Hlk68559574"/>
    </w:p>
    <w:p w14:paraId="3043FF96" w14:textId="2A6FA483" w:rsidR="00167645" w:rsidRPr="00C76FD5" w:rsidRDefault="00167645" w:rsidP="00167645">
      <w:pPr>
        <w:spacing w:line="360" w:lineRule="auto"/>
        <w:jc w:val="both"/>
        <w:rPr>
          <w:rFonts w:asciiTheme="majorBidi" w:eastAsiaTheme="majorEastAsia" w:hAnsiTheme="majorBidi" w:cstheme="majorBidi"/>
          <w:sz w:val="20"/>
          <w:szCs w:val="18"/>
        </w:rPr>
      </w:pPr>
      <w:r w:rsidRPr="00C76FD5">
        <w:rPr>
          <w:rFonts w:asciiTheme="majorBidi" w:eastAsiaTheme="majorEastAsia" w:hAnsiTheme="majorBidi" w:cstheme="majorBidi"/>
          <w:sz w:val="20"/>
          <w:szCs w:val="18"/>
        </w:rPr>
        <w:t xml:space="preserve">Figure 5. </w:t>
      </w:r>
      <w:r>
        <w:rPr>
          <w:rFonts w:asciiTheme="majorBidi" w:eastAsiaTheme="majorEastAsia" w:hAnsiTheme="majorBidi" w:cstheme="majorBidi"/>
          <w:sz w:val="20"/>
          <w:szCs w:val="18"/>
        </w:rPr>
        <w:t xml:space="preserve"> </w:t>
      </w:r>
      <w:r w:rsidRPr="00C76FD5">
        <w:rPr>
          <w:rFonts w:asciiTheme="majorBidi" w:eastAsiaTheme="majorEastAsia" w:hAnsiTheme="majorBidi" w:cstheme="majorBidi"/>
          <w:sz w:val="20"/>
          <w:szCs w:val="18"/>
        </w:rPr>
        <w:t>AFM surface morphology of (a) Polysulfone membrane substrate and (b) the thin-film composite membrane</w:t>
      </w:r>
      <w:bookmarkEnd w:id="2"/>
    </w:p>
    <w:p w14:paraId="42BD61A8" w14:textId="77777777" w:rsidR="0072450C" w:rsidRDefault="0072450C" w:rsidP="00240376">
      <w:pPr>
        <w:spacing w:after="0"/>
        <w:jc w:val="both"/>
        <w:rPr>
          <w:rFonts w:asciiTheme="majorBidi" w:eastAsiaTheme="majorEastAsia" w:hAnsiTheme="majorBidi" w:cstheme="majorBidi"/>
          <w:b/>
          <w:bCs/>
          <w:sz w:val="20"/>
          <w:szCs w:val="18"/>
        </w:rPr>
      </w:pPr>
    </w:p>
    <w:p w14:paraId="2D6633B4" w14:textId="0454C2AF" w:rsidR="0072450C" w:rsidRDefault="0072450C" w:rsidP="00240376">
      <w:pPr>
        <w:spacing w:after="0"/>
        <w:jc w:val="both"/>
        <w:rPr>
          <w:rFonts w:asciiTheme="majorBidi" w:eastAsiaTheme="majorEastAsia" w:hAnsiTheme="majorBidi" w:cstheme="majorBidi"/>
          <w:b/>
          <w:bCs/>
          <w:sz w:val="20"/>
          <w:szCs w:val="18"/>
        </w:rPr>
        <w:sectPr w:rsidR="0072450C" w:rsidSect="00167645">
          <w:type w:val="continuous"/>
          <w:pgSz w:w="12240" w:h="15840" w:code="1"/>
          <w:pgMar w:top="1800" w:right="1469" w:bottom="1699" w:left="1440" w:header="706" w:footer="706" w:gutter="0"/>
          <w:pgNumType w:start="1"/>
          <w:cols w:space="403"/>
          <w:docGrid w:linePitch="360"/>
        </w:sectPr>
      </w:pPr>
    </w:p>
    <w:p w14:paraId="467DAA44" w14:textId="61E03624" w:rsidR="00240376" w:rsidRPr="00125C09" w:rsidRDefault="00240376" w:rsidP="00240376">
      <w:pPr>
        <w:spacing w:after="0"/>
        <w:jc w:val="both"/>
        <w:rPr>
          <w:rFonts w:asciiTheme="majorBidi" w:eastAsiaTheme="majorEastAsia" w:hAnsiTheme="majorBidi" w:cstheme="majorBidi"/>
          <w:b/>
          <w:bCs/>
          <w:sz w:val="20"/>
          <w:szCs w:val="18"/>
        </w:rPr>
      </w:pPr>
      <w:r w:rsidRPr="00125C09">
        <w:rPr>
          <w:rFonts w:asciiTheme="majorBidi" w:eastAsiaTheme="majorEastAsia" w:hAnsiTheme="majorBidi" w:cstheme="majorBidi"/>
          <w:b/>
          <w:bCs/>
          <w:sz w:val="20"/>
          <w:szCs w:val="18"/>
        </w:rPr>
        <w:t xml:space="preserve">Contact angle test </w:t>
      </w:r>
    </w:p>
    <w:p w14:paraId="5DF9C3ED" w14:textId="1C4F2716" w:rsidR="00240376" w:rsidRDefault="00240376" w:rsidP="00240376">
      <w:pPr>
        <w:spacing w:after="0"/>
        <w:jc w:val="both"/>
        <w:rPr>
          <w:rFonts w:asciiTheme="majorBidi" w:eastAsiaTheme="majorEastAsia" w:hAnsiTheme="majorBidi" w:cstheme="majorBidi"/>
          <w:sz w:val="20"/>
          <w:szCs w:val="18"/>
        </w:rPr>
      </w:pPr>
      <w:r w:rsidRPr="00360945">
        <w:rPr>
          <w:rFonts w:asciiTheme="majorBidi" w:eastAsiaTheme="majorEastAsia" w:hAnsiTheme="majorBidi" w:cstheme="majorBidi"/>
          <w:sz w:val="20"/>
          <w:szCs w:val="18"/>
        </w:rPr>
        <w:t xml:space="preserve">The contact angle of a membrane is one of its most important physical characteristics since it reveals its hydrophilicity and fouling susceptibility. An ideal membrane should be hydrophilic with high water flow rate and low fouling properties. The contact angle of the PSf substrate and the TFC membrane was assessed using a goniometer to determine their hydrophilicity. </w:t>
      </w:r>
      <w:r w:rsidRPr="00732772">
        <w:rPr>
          <w:rFonts w:asciiTheme="majorBidi" w:eastAsiaTheme="majorEastAsia" w:hAnsiTheme="majorBidi" w:cstheme="majorBidi"/>
          <w:sz w:val="20"/>
          <w:szCs w:val="18"/>
        </w:rPr>
        <w:t>Figure 6</w:t>
      </w:r>
      <w:r w:rsidRPr="00360945">
        <w:rPr>
          <w:rFonts w:asciiTheme="majorBidi" w:eastAsiaTheme="majorEastAsia" w:hAnsiTheme="majorBidi" w:cstheme="majorBidi"/>
          <w:sz w:val="20"/>
          <w:szCs w:val="18"/>
        </w:rPr>
        <w:t xml:space="preserve"> shows that the average contact angle for both membranes was less than 90</w:t>
      </w:r>
      <w:r w:rsidRPr="00D36459">
        <w:rPr>
          <w:rFonts w:asciiTheme="majorBidi" w:eastAsiaTheme="majorEastAsia" w:hAnsiTheme="majorBidi" w:cstheme="majorBidi"/>
          <w:sz w:val="20"/>
          <w:szCs w:val="18"/>
          <w:vertAlign w:val="superscript"/>
        </w:rPr>
        <w:t>o</w:t>
      </w:r>
      <w:r w:rsidRPr="00360945">
        <w:rPr>
          <w:rFonts w:asciiTheme="majorBidi" w:eastAsiaTheme="majorEastAsia" w:hAnsiTheme="majorBidi" w:cstheme="majorBidi"/>
          <w:sz w:val="20"/>
          <w:szCs w:val="18"/>
        </w:rPr>
        <w:t>, which indicates its hydrophilicity. The hydrophilicity of the TFC membrane (36.04</w:t>
      </w:r>
      <w:r w:rsidRPr="00E32ED9">
        <w:rPr>
          <w:rFonts w:asciiTheme="majorBidi" w:eastAsiaTheme="majorEastAsia" w:hAnsiTheme="majorBidi" w:cstheme="majorBidi"/>
          <w:sz w:val="20"/>
          <w:szCs w:val="18"/>
          <w:vertAlign w:val="superscript"/>
        </w:rPr>
        <w:t>o</w:t>
      </w:r>
      <w:r w:rsidRPr="00360945">
        <w:rPr>
          <w:rFonts w:asciiTheme="majorBidi" w:eastAsiaTheme="majorEastAsia" w:hAnsiTheme="majorBidi" w:cstheme="majorBidi"/>
          <w:sz w:val="20"/>
          <w:szCs w:val="18"/>
        </w:rPr>
        <w:t>) is higher than that of the PSf membrane (65.57</w:t>
      </w:r>
      <w:r w:rsidRPr="00E32ED9">
        <w:rPr>
          <w:rFonts w:asciiTheme="majorBidi" w:eastAsiaTheme="majorEastAsia" w:hAnsiTheme="majorBidi" w:cstheme="majorBidi"/>
          <w:sz w:val="20"/>
          <w:szCs w:val="18"/>
          <w:vertAlign w:val="superscript"/>
        </w:rPr>
        <w:t>o</w:t>
      </w:r>
      <w:r w:rsidRPr="00360945">
        <w:rPr>
          <w:rFonts w:asciiTheme="majorBidi" w:eastAsiaTheme="majorEastAsia" w:hAnsiTheme="majorBidi" w:cstheme="majorBidi"/>
          <w:sz w:val="20"/>
          <w:szCs w:val="18"/>
        </w:rPr>
        <w:t xml:space="preserve">), indicating that more amide groups </w:t>
      </w:r>
      <w:r w:rsidRPr="00360945">
        <w:rPr>
          <w:rFonts w:asciiTheme="majorBidi" w:eastAsiaTheme="majorEastAsia" w:hAnsiTheme="majorBidi" w:cstheme="majorBidi"/>
          <w:sz w:val="20"/>
          <w:szCs w:val="18"/>
        </w:rPr>
        <w:t>are generated on the TFC membrane surface. TFC membranes have lower contact angle values because the polyamide layer structure contains strong polar amide functional groups that are hydrophilic in nature [40]. The presence of the pendant carboxylic acid groups inside the main chain has contributed to the increased hydrophilicity of the TFC membrane [33]. The TFC membrane thickened as the interfacial polymerization reaction time increased, contributing to its dense structure. This also explains why the contact angle of TFC membrane is decreasing [34].</w:t>
      </w:r>
    </w:p>
    <w:p w14:paraId="413EE9C8" w14:textId="77777777" w:rsidR="0072450C" w:rsidRDefault="0072450C" w:rsidP="00240376">
      <w:pPr>
        <w:spacing w:after="0"/>
        <w:jc w:val="both"/>
        <w:rPr>
          <w:rFonts w:asciiTheme="majorBidi" w:eastAsiaTheme="majorEastAsia" w:hAnsiTheme="majorBidi" w:cstheme="majorBidi"/>
          <w:sz w:val="20"/>
          <w:szCs w:val="18"/>
        </w:rPr>
      </w:pPr>
    </w:p>
    <w:p w14:paraId="44DA434D" w14:textId="117499DA" w:rsidR="00D62109" w:rsidRDefault="00D62109" w:rsidP="00240376">
      <w:pPr>
        <w:spacing w:after="0"/>
        <w:jc w:val="both"/>
        <w:rPr>
          <w:rFonts w:asciiTheme="majorBidi" w:eastAsiaTheme="majorEastAsia" w:hAnsiTheme="majorBidi" w:cstheme="majorBidi"/>
          <w:sz w:val="20"/>
          <w:szCs w:val="18"/>
        </w:rPr>
        <w:sectPr w:rsidR="00D62109" w:rsidSect="0072450C">
          <w:type w:val="continuous"/>
          <w:pgSz w:w="12240" w:h="15840" w:code="1"/>
          <w:pgMar w:top="1800" w:right="1469" w:bottom="1699" w:left="1440" w:header="706" w:footer="706" w:gutter="0"/>
          <w:pgNumType w:start="1"/>
          <w:cols w:num="2" w:space="403"/>
          <w:docGrid w:linePitch="360"/>
        </w:sectPr>
      </w:pPr>
    </w:p>
    <w:p w14:paraId="75C35BA9" w14:textId="1272B63B" w:rsidR="00D62109" w:rsidRDefault="00D62109" w:rsidP="00D62109">
      <w:pPr>
        <w:spacing w:after="0"/>
        <w:jc w:val="center"/>
        <w:rPr>
          <w:rFonts w:asciiTheme="majorBidi" w:eastAsiaTheme="majorEastAsia" w:hAnsiTheme="majorBidi" w:cstheme="majorBidi"/>
          <w:sz w:val="20"/>
          <w:szCs w:val="18"/>
        </w:rPr>
      </w:pPr>
    </w:p>
    <w:p w14:paraId="68199879" w14:textId="4320A7D6" w:rsidR="0072450C" w:rsidRPr="00D62109" w:rsidRDefault="0072450C" w:rsidP="00D62109">
      <w:pPr>
        <w:spacing w:after="120"/>
        <w:jc w:val="center"/>
        <w:rPr>
          <w:rFonts w:asciiTheme="majorBidi" w:eastAsiaTheme="majorEastAsia" w:hAnsiTheme="majorBidi" w:cstheme="majorBidi"/>
          <w:sz w:val="20"/>
          <w:szCs w:val="18"/>
        </w:rPr>
      </w:pPr>
      <w:r w:rsidRPr="004E21B7">
        <w:rPr>
          <w:rFonts w:asciiTheme="majorHAnsi" w:eastAsiaTheme="majorEastAsia" w:hAnsiTheme="majorHAnsi" w:cstheme="majorHAnsi"/>
          <w:noProof/>
          <w:sz w:val="24"/>
          <w:szCs w:val="24"/>
          <w:lang w:val="en-AU" w:eastAsia="zh-CN"/>
        </w:rPr>
        <w:drawing>
          <wp:inline distT="0" distB="0" distL="0" distR="0" wp14:anchorId="2B9F4575" wp14:editId="6FFC74FB">
            <wp:extent cx="2468880" cy="1911096"/>
            <wp:effectExtent l="19050" t="19050" r="26670" b="13335"/>
            <wp:docPr id="28" name="Picture 2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bar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68880" cy="1911096"/>
                    </a:xfrm>
                    <a:prstGeom prst="rect">
                      <a:avLst/>
                    </a:prstGeom>
                    <a:ln>
                      <a:solidFill>
                        <a:schemeClr val="tx1"/>
                      </a:solidFill>
                    </a:ln>
                  </pic:spPr>
                </pic:pic>
              </a:graphicData>
            </a:graphic>
          </wp:inline>
        </w:drawing>
      </w:r>
      <w:bookmarkStart w:id="3" w:name="_Hlk68559527"/>
    </w:p>
    <w:p w14:paraId="38FB3C7D" w14:textId="77777777" w:rsidR="0072450C" w:rsidRPr="00C76FD5" w:rsidRDefault="0072450C" w:rsidP="0072450C">
      <w:pPr>
        <w:spacing w:line="360" w:lineRule="auto"/>
        <w:jc w:val="center"/>
        <w:rPr>
          <w:rFonts w:asciiTheme="majorBidi" w:eastAsiaTheme="majorEastAsia" w:hAnsiTheme="majorBidi" w:cstheme="majorBidi"/>
          <w:sz w:val="20"/>
          <w:szCs w:val="18"/>
        </w:rPr>
      </w:pPr>
      <w:r w:rsidRPr="00C76FD5">
        <w:rPr>
          <w:rFonts w:asciiTheme="majorBidi" w:eastAsiaTheme="majorEastAsia" w:hAnsiTheme="majorBidi" w:cstheme="majorBidi"/>
          <w:sz w:val="20"/>
          <w:szCs w:val="18"/>
        </w:rPr>
        <w:t xml:space="preserve">Figure 6. </w:t>
      </w:r>
      <w:r>
        <w:rPr>
          <w:rFonts w:asciiTheme="majorBidi" w:eastAsiaTheme="majorEastAsia" w:hAnsiTheme="majorBidi" w:cstheme="majorBidi"/>
          <w:sz w:val="20"/>
          <w:szCs w:val="18"/>
        </w:rPr>
        <w:t xml:space="preserve"> </w:t>
      </w:r>
      <w:r w:rsidRPr="00C76FD5">
        <w:rPr>
          <w:rFonts w:asciiTheme="majorBidi" w:eastAsiaTheme="majorEastAsia" w:hAnsiTheme="majorBidi" w:cstheme="majorBidi"/>
          <w:sz w:val="20"/>
          <w:szCs w:val="18"/>
        </w:rPr>
        <w:t>Comparison of contact angle values between PA-TFC and PSf membrane</w:t>
      </w:r>
      <w:bookmarkEnd w:id="3"/>
      <w:r w:rsidRPr="00C76FD5">
        <w:rPr>
          <w:rFonts w:asciiTheme="majorBidi" w:eastAsiaTheme="majorEastAsia" w:hAnsiTheme="majorBidi" w:cstheme="majorBidi"/>
          <w:sz w:val="20"/>
          <w:szCs w:val="18"/>
        </w:rPr>
        <w:t>s</w:t>
      </w:r>
    </w:p>
    <w:p w14:paraId="32BD2814" w14:textId="77777777" w:rsidR="00C4691B" w:rsidRDefault="00C4691B" w:rsidP="00953F5D">
      <w:pPr>
        <w:spacing w:after="0"/>
        <w:jc w:val="both"/>
        <w:rPr>
          <w:rFonts w:asciiTheme="majorBidi" w:eastAsiaTheme="majorEastAsia" w:hAnsiTheme="majorBidi" w:cstheme="majorBidi"/>
          <w:b/>
          <w:bCs/>
          <w:sz w:val="20"/>
          <w:szCs w:val="18"/>
        </w:rPr>
        <w:sectPr w:rsidR="00C4691B" w:rsidSect="00167645">
          <w:footerReference w:type="default" r:id="rId28"/>
          <w:type w:val="continuous"/>
          <w:pgSz w:w="12240" w:h="15840" w:code="1"/>
          <w:pgMar w:top="1800" w:right="1469" w:bottom="1699" w:left="1440" w:header="706" w:footer="706" w:gutter="0"/>
          <w:pgNumType w:start="1"/>
          <w:cols w:space="403"/>
          <w:docGrid w:linePitch="360"/>
        </w:sectPr>
      </w:pPr>
    </w:p>
    <w:p w14:paraId="0A747C80" w14:textId="77777777" w:rsidR="00953F5D" w:rsidRPr="00125C09" w:rsidRDefault="00953F5D" w:rsidP="00953F5D">
      <w:pPr>
        <w:spacing w:after="0"/>
        <w:jc w:val="both"/>
        <w:rPr>
          <w:rFonts w:asciiTheme="majorBidi" w:eastAsiaTheme="majorEastAsia" w:hAnsiTheme="majorBidi" w:cstheme="majorBidi"/>
          <w:b/>
          <w:bCs/>
          <w:sz w:val="20"/>
          <w:szCs w:val="18"/>
        </w:rPr>
      </w:pPr>
      <w:r w:rsidRPr="00125C09">
        <w:rPr>
          <w:rFonts w:asciiTheme="majorBidi" w:eastAsiaTheme="majorEastAsia" w:hAnsiTheme="majorBidi" w:cstheme="majorBidi"/>
          <w:b/>
          <w:bCs/>
          <w:sz w:val="20"/>
          <w:szCs w:val="18"/>
        </w:rPr>
        <w:lastRenderedPageBreak/>
        <w:t>Water permeability flux</w:t>
      </w:r>
    </w:p>
    <w:p w14:paraId="7010CC74" w14:textId="0773D5A9" w:rsidR="00D62109" w:rsidRDefault="00953F5D" w:rsidP="00C4691B">
      <w:pPr>
        <w:spacing w:after="0"/>
        <w:jc w:val="both"/>
        <w:rPr>
          <w:rFonts w:asciiTheme="majorBidi" w:eastAsiaTheme="majorEastAsia" w:hAnsiTheme="majorBidi" w:cstheme="majorBidi"/>
          <w:sz w:val="20"/>
          <w:szCs w:val="18"/>
        </w:rPr>
      </w:pPr>
      <w:r w:rsidRPr="00360945">
        <w:rPr>
          <w:rFonts w:asciiTheme="majorBidi" w:eastAsiaTheme="majorEastAsia" w:hAnsiTheme="majorBidi" w:cstheme="majorBidi"/>
          <w:sz w:val="20"/>
          <w:szCs w:val="18"/>
        </w:rPr>
        <w:t>The water flux change between TFC and PSf membrane was examined</w:t>
      </w:r>
      <w:r w:rsidR="00C4691B">
        <w:rPr>
          <w:rFonts w:asciiTheme="majorBidi" w:eastAsiaTheme="majorEastAsia" w:hAnsiTheme="majorBidi" w:cstheme="majorBidi"/>
          <w:sz w:val="20"/>
          <w:szCs w:val="18"/>
        </w:rPr>
        <w:t xml:space="preserve"> </w:t>
      </w:r>
      <w:r w:rsidR="00C4691B" w:rsidRPr="00732772">
        <w:rPr>
          <w:rFonts w:asciiTheme="majorBidi" w:eastAsiaTheme="majorEastAsia" w:hAnsiTheme="majorBidi" w:cstheme="majorBidi"/>
          <w:sz w:val="20"/>
          <w:szCs w:val="18"/>
        </w:rPr>
        <w:t>(Figure 7)</w:t>
      </w:r>
      <w:r w:rsidRPr="00732772">
        <w:rPr>
          <w:rFonts w:asciiTheme="majorBidi" w:eastAsiaTheme="majorEastAsia" w:hAnsiTheme="majorBidi" w:cstheme="majorBidi"/>
          <w:sz w:val="20"/>
          <w:szCs w:val="18"/>
        </w:rPr>
        <w:t xml:space="preserve">. </w:t>
      </w:r>
      <w:r w:rsidRPr="00360945">
        <w:rPr>
          <w:rFonts w:asciiTheme="majorBidi" w:eastAsiaTheme="majorEastAsia" w:hAnsiTheme="majorBidi" w:cstheme="majorBidi"/>
          <w:sz w:val="20"/>
          <w:szCs w:val="18"/>
        </w:rPr>
        <w:t xml:space="preserve">Permeate flow is known to be highly related to membrane pore size, hence the increase in water flux in PSf substrate was expected. TFC </w:t>
      </w:r>
      <w:r w:rsidRPr="00360945">
        <w:rPr>
          <w:rFonts w:asciiTheme="majorBidi" w:eastAsiaTheme="majorEastAsia" w:hAnsiTheme="majorBidi" w:cstheme="majorBidi"/>
          <w:sz w:val="20"/>
          <w:szCs w:val="18"/>
        </w:rPr>
        <w:t>membranes have a low water flux because of their dense structure, which obstructs water flow and hence reduces the water flux value across the membrane [29]. In addition, it is worth noting that a denser active layer offers better rejection and lower fouling propensity [41].</w:t>
      </w:r>
    </w:p>
    <w:p w14:paraId="1DB757F7" w14:textId="77777777" w:rsidR="00C4691B" w:rsidRDefault="00C4691B" w:rsidP="00C4691B">
      <w:pPr>
        <w:spacing w:after="0"/>
        <w:jc w:val="both"/>
        <w:rPr>
          <w:rFonts w:asciiTheme="majorBidi" w:eastAsiaTheme="majorEastAsia" w:hAnsiTheme="majorBidi" w:cstheme="majorBidi"/>
          <w:sz w:val="20"/>
          <w:szCs w:val="18"/>
        </w:rPr>
        <w:sectPr w:rsidR="00C4691B" w:rsidSect="00C4691B">
          <w:footerReference w:type="default" r:id="rId29"/>
          <w:type w:val="continuous"/>
          <w:pgSz w:w="12240" w:h="15840" w:code="1"/>
          <w:pgMar w:top="1800" w:right="1469" w:bottom="1699" w:left="1440" w:header="706" w:footer="706" w:gutter="0"/>
          <w:pgNumType w:start="1"/>
          <w:cols w:num="2" w:space="403"/>
          <w:docGrid w:linePitch="360"/>
        </w:sectPr>
      </w:pPr>
    </w:p>
    <w:p w14:paraId="6BA04887" w14:textId="77777777" w:rsidR="00C4691B" w:rsidRPr="00C4691B" w:rsidRDefault="00C4691B" w:rsidP="00C4691B">
      <w:pPr>
        <w:spacing w:after="0"/>
        <w:jc w:val="both"/>
        <w:rPr>
          <w:rFonts w:asciiTheme="majorBidi" w:eastAsiaTheme="majorEastAsia" w:hAnsiTheme="majorBidi" w:cstheme="majorBidi"/>
          <w:sz w:val="20"/>
          <w:szCs w:val="18"/>
        </w:rPr>
      </w:pPr>
    </w:p>
    <w:p w14:paraId="4F806A90" w14:textId="77777777" w:rsidR="00D62109" w:rsidRPr="004E21B7" w:rsidRDefault="00D62109" w:rsidP="00D62109">
      <w:pPr>
        <w:jc w:val="center"/>
        <w:rPr>
          <w:rFonts w:asciiTheme="majorBidi" w:hAnsiTheme="majorBidi" w:cstheme="majorBidi"/>
          <w:b/>
          <w:bCs/>
          <w:i/>
          <w:iCs/>
          <w:szCs w:val="20"/>
        </w:rPr>
      </w:pPr>
      <w:r w:rsidRPr="004E21B7">
        <w:rPr>
          <w:rFonts w:asciiTheme="majorHAnsi" w:eastAsiaTheme="majorEastAsia" w:hAnsiTheme="majorHAnsi" w:cstheme="majorHAnsi"/>
          <w:b/>
          <w:bCs/>
          <w:noProof/>
          <w:sz w:val="24"/>
          <w:szCs w:val="24"/>
          <w:lang w:val="en-AU" w:eastAsia="zh-CN"/>
        </w:rPr>
        <w:drawing>
          <wp:inline distT="0" distB="0" distL="0" distR="0" wp14:anchorId="620C64B4" wp14:editId="336374CB">
            <wp:extent cx="4169664" cy="2761488"/>
            <wp:effectExtent l="19050" t="19050" r="21590" b="20320"/>
            <wp:docPr id="1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scatter 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69664" cy="2761488"/>
                    </a:xfrm>
                    <a:prstGeom prst="rect">
                      <a:avLst/>
                    </a:prstGeom>
                    <a:ln>
                      <a:solidFill>
                        <a:schemeClr val="tx1"/>
                      </a:solidFill>
                    </a:ln>
                  </pic:spPr>
                </pic:pic>
              </a:graphicData>
            </a:graphic>
          </wp:inline>
        </w:drawing>
      </w:r>
    </w:p>
    <w:p w14:paraId="0C84E9DC" w14:textId="77777777" w:rsidR="00D62109" w:rsidRPr="00C76FD5" w:rsidRDefault="00D62109" w:rsidP="00C4691B">
      <w:pPr>
        <w:spacing w:after="0"/>
        <w:ind w:left="810" w:hanging="810"/>
        <w:jc w:val="both"/>
        <w:rPr>
          <w:rFonts w:asciiTheme="majorBidi" w:eastAsiaTheme="majorEastAsia" w:hAnsiTheme="majorBidi" w:cstheme="majorBidi"/>
          <w:sz w:val="20"/>
          <w:szCs w:val="18"/>
        </w:rPr>
      </w:pPr>
      <w:r w:rsidRPr="00C76FD5">
        <w:rPr>
          <w:rFonts w:asciiTheme="majorBidi" w:eastAsiaTheme="majorEastAsia" w:hAnsiTheme="majorBidi" w:cstheme="majorBidi"/>
          <w:sz w:val="20"/>
          <w:szCs w:val="18"/>
        </w:rPr>
        <w:t>Figure 7. Water flux of FO with the model solution and pure water as feed (experimental conditions: AL-FS, 4M NaCl as DS</w:t>
      </w:r>
    </w:p>
    <w:p w14:paraId="778213F0" w14:textId="5443E32F" w:rsidR="00D62109" w:rsidRDefault="00D62109" w:rsidP="00953F5D">
      <w:pPr>
        <w:spacing w:after="0"/>
        <w:jc w:val="both"/>
        <w:rPr>
          <w:rFonts w:asciiTheme="majorBidi" w:eastAsiaTheme="majorEastAsia" w:hAnsiTheme="majorBidi" w:cstheme="majorBidi"/>
          <w:sz w:val="20"/>
          <w:szCs w:val="18"/>
        </w:rPr>
      </w:pPr>
    </w:p>
    <w:p w14:paraId="4B6F6BCC" w14:textId="0C875644" w:rsidR="00D62109" w:rsidRDefault="00D62109" w:rsidP="00953F5D">
      <w:pPr>
        <w:spacing w:after="0"/>
        <w:jc w:val="both"/>
        <w:rPr>
          <w:rFonts w:asciiTheme="majorBidi" w:eastAsiaTheme="majorEastAsia" w:hAnsiTheme="majorBidi" w:cstheme="majorBidi"/>
          <w:sz w:val="20"/>
          <w:szCs w:val="18"/>
        </w:rPr>
      </w:pPr>
    </w:p>
    <w:p w14:paraId="1DB66A43" w14:textId="77777777" w:rsidR="00C4691B" w:rsidRDefault="00C4691B" w:rsidP="00953F5D">
      <w:pPr>
        <w:spacing w:after="0"/>
        <w:jc w:val="both"/>
        <w:rPr>
          <w:rFonts w:asciiTheme="majorBidi" w:eastAsiaTheme="majorEastAsia" w:hAnsiTheme="majorBidi" w:cstheme="majorBidi"/>
          <w:b/>
          <w:bCs/>
          <w:sz w:val="20"/>
          <w:szCs w:val="18"/>
        </w:rPr>
        <w:sectPr w:rsidR="00C4691B" w:rsidSect="00167645">
          <w:type w:val="continuous"/>
          <w:pgSz w:w="12240" w:h="15840" w:code="1"/>
          <w:pgMar w:top="1800" w:right="1469" w:bottom="1699" w:left="1440" w:header="706" w:footer="706" w:gutter="0"/>
          <w:pgNumType w:start="1"/>
          <w:cols w:space="403"/>
          <w:docGrid w:linePitch="360"/>
        </w:sectPr>
      </w:pPr>
    </w:p>
    <w:p w14:paraId="48FC2B4C" w14:textId="77777777" w:rsidR="00953F5D" w:rsidRPr="00125C09" w:rsidRDefault="00953F5D" w:rsidP="00953F5D">
      <w:pPr>
        <w:spacing w:after="0"/>
        <w:jc w:val="both"/>
        <w:rPr>
          <w:rFonts w:asciiTheme="majorBidi" w:eastAsiaTheme="majorEastAsia" w:hAnsiTheme="majorBidi" w:cstheme="majorBidi"/>
          <w:b/>
          <w:bCs/>
          <w:sz w:val="20"/>
          <w:szCs w:val="18"/>
        </w:rPr>
      </w:pPr>
      <w:r w:rsidRPr="00125C09">
        <w:rPr>
          <w:rFonts w:asciiTheme="majorBidi" w:eastAsiaTheme="majorEastAsia" w:hAnsiTheme="majorBidi" w:cstheme="majorBidi"/>
          <w:b/>
          <w:bCs/>
          <w:sz w:val="20"/>
          <w:szCs w:val="18"/>
        </w:rPr>
        <w:t>BPA removal</w:t>
      </w:r>
    </w:p>
    <w:p w14:paraId="3F2F79BF" w14:textId="16F1DEA4" w:rsidR="00240376" w:rsidRDefault="00953F5D" w:rsidP="00953F5D">
      <w:pPr>
        <w:spacing w:after="0"/>
        <w:jc w:val="both"/>
        <w:rPr>
          <w:rFonts w:asciiTheme="majorBidi" w:eastAsiaTheme="majorEastAsia" w:hAnsiTheme="majorBidi" w:cstheme="majorBidi"/>
          <w:sz w:val="20"/>
          <w:szCs w:val="18"/>
        </w:rPr>
      </w:pPr>
      <w:r w:rsidRPr="00360945">
        <w:rPr>
          <w:rFonts w:asciiTheme="majorBidi" w:eastAsiaTheme="majorEastAsia" w:hAnsiTheme="majorBidi" w:cstheme="majorBidi"/>
          <w:sz w:val="20"/>
          <w:szCs w:val="18"/>
        </w:rPr>
        <w:t xml:space="preserve">The retention of BPA was investigated utilizing both the PA-TFC and PSf membranes, and the results were compared accordingly. </w:t>
      </w:r>
      <w:r w:rsidRPr="00732772">
        <w:rPr>
          <w:rFonts w:asciiTheme="majorBidi" w:eastAsiaTheme="majorEastAsia" w:hAnsiTheme="majorBidi" w:cstheme="majorBidi"/>
          <w:sz w:val="20"/>
          <w:szCs w:val="18"/>
        </w:rPr>
        <w:t xml:space="preserve">Figure 8 </w:t>
      </w:r>
      <w:r w:rsidRPr="00360945">
        <w:rPr>
          <w:rFonts w:asciiTheme="majorBidi" w:eastAsiaTheme="majorEastAsia" w:hAnsiTheme="majorBidi" w:cstheme="majorBidi"/>
          <w:sz w:val="20"/>
          <w:szCs w:val="18"/>
        </w:rPr>
        <w:t xml:space="preserve">demonstrates that the overall rejection of BPA was within the range of 91% with the membrane orientation mode at AL-FS, whereas the PSf membrane yielded a rejection of 25%. The thin-film active layer produced on the membrane substrate was predicted to increase the retention capacity of TFC forward osmosis membrane. The thin-film layer which has a higher ridge-and-valley microstructure, entraps the BPA at the active layer. BPA rejection of more than 90% suggested that its pore size is substantially smaller than BPA particle size, which explains the high removal from the feed solution. The dense top coating of the TFC membrane was believed to have contributed to the significant BPA rejection due to its excellent substance retention properties [29, 34]. The result shows that the </w:t>
      </w:r>
      <w:r w:rsidRPr="00360945">
        <w:rPr>
          <w:rFonts w:asciiTheme="majorBidi" w:eastAsiaTheme="majorEastAsia" w:hAnsiTheme="majorBidi" w:cstheme="majorBidi"/>
          <w:sz w:val="20"/>
          <w:szCs w:val="18"/>
        </w:rPr>
        <w:t>thin-film composite membrane fabricated through the IPIS method can be used to remove BPA from industrial and pharmaceutical wastewaters.</w:t>
      </w:r>
    </w:p>
    <w:p w14:paraId="69820063" w14:textId="77777777" w:rsidR="00167645" w:rsidRDefault="00167645" w:rsidP="00953F5D">
      <w:pPr>
        <w:spacing w:after="0"/>
        <w:jc w:val="both"/>
        <w:rPr>
          <w:rFonts w:asciiTheme="majorBidi" w:eastAsiaTheme="majorEastAsia" w:hAnsiTheme="majorBidi" w:cstheme="majorBidi"/>
          <w:sz w:val="20"/>
          <w:szCs w:val="18"/>
        </w:rPr>
      </w:pPr>
    </w:p>
    <w:p w14:paraId="64ACE4E7" w14:textId="77777777" w:rsidR="00C4691B" w:rsidRDefault="00C4691B" w:rsidP="00953F5D">
      <w:pPr>
        <w:spacing w:after="0"/>
        <w:jc w:val="both"/>
        <w:rPr>
          <w:rFonts w:ascii="Times New Roman" w:hAnsi="Times New Roman"/>
          <w:sz w:val="20"/>
          <w:szCs w:val="20"/>
          <w:lang w:bidi="ar-SA"/>
        </w:rPr>
      </w:pPr>
      <w:r w:rsidRPr="00C70C3E">
        <w:rPr>
          <w:rFonts w:ascii="Times New Roman" w:hAnsi="Times New Roman"/>
          <w:sz w:val="20"/>
          <w:szCs w:val="20"/>
          <w:lang w:bidi="ar-SA"/>
        </w:rPr>
        <w:t>In terms of the forward osmosis rejection efficiency of BPA, the result from this study is slightly higher than the values reported by Zhu et al. (approx. 80%) [42], Hancock et al. (approx. 70%) [43] and Linares et al. (approx. 49%) [44]. These above-mentioned studies were basically carried out using the cellulose triacetate forward osmosis membranes. The interfacial polymerization of the polyamide layer on the polysulfone substrate could improve the BPA rejection by FO according to the findings of this study and comparisons with earlier research. This modification will enhance hydrophilicity, increase substance rejection from feed solution, and maintain the highest possible flow rates [29]. </w:t>
      </w:r>
    </w:p>
    <w:p w14:paraId="6B9DD66C" w14:textId="77777777" w:rsidR="00144F4D" w:rsidRDefault="00144F4D" w:rsidP="00953F5D">
      <w:pPr>
        <w:spacing w:after="0"/>
        <w:jc w:val="both"/>
        <w:rPr>
          <w:rFonts w:asciiTheme="majorBidi" w:eastAsiaTheme="majorEastAsia" w:hAnsiTheme="majorBidi" w:cstheme="majorBidi"/>
          <w:sz w:val="20"/>
          <w:szCs w:val="18"/>
        </w:rPr>
        <w:sectPr w:rsidR="00144F4D" w:rsidSect="00C4691B">
          <w:footerReference w:type="even" r:id="rId31"/>
          <w:type w:val="continuous"/>
          <w:pgSz w:w="12240" w:h="15840" w:code="1"/>
          <w:pgMar w:top="1800" w:right="1469" w:bottom="1699" w:left="1440" w:header="706" w:footer="706" w:gutter="0"/>
          <w:pgNumType w:start="1"/>
          <w:cols w:num="2" w:space="403"/>
          <w:docGrid w:linePitch="360"/>
        </w:sectPr>
      </w:pPr>
    </w:p>
    <w:p w14:paraId="3987DFDF" w14:textId="72FA6515" w:rsidR="00FC44A7" w:rsidRDefault="00FC44A7" w:rsidP="002B412F">
      <w:pPr>
        <w:spacing w:after="0"/>
        <w:jc w:val="both"/>
        <w:rPr>
          <w:rFonts w:ascii="Times New Roman" w:hAnsi="Times New Roman"/>
          <w:noProof/>
          <w:sz w:val="20"/>
          <w:szCs w:val="20"/>
          <w:lang w:bidi="ar-SA"/>
        </w:rPr>
        <w:sectPr w:rsidR="00FC44A7" w:rsidSect="006956AB">
          <w:type w:val="continuous"/>
          <w:pgSz w:w="12240" w:h="15840" w:code="1"/>
          <w:pgMar w:top="1800" w:right="1469" w:bottom="1699" w:left="1440" w:header="706" w:footer="706" w:gutter="0"/>
          <w:pgNumType w:start="1"/>
          <w:cols w:num="2" w:space="403"/>
          <w:docGrid w:linePitch="360"/>
        </w:sectPr>
      </w:pPr>
    </w:p>
    <w:p w14:paraId="7C14D841" w14:textId="38B72525" w:rsidR="00125C09" w:rsidRDefault="00125C09" w:rsidP="00125C09">
      <w:pPr>
        <w:spacing w:after="0"/>
        <w:jc w:val="both"/>
        <w:rPr>
          <w:rFonts w:asciiTheme="majorBidi" w:eastAsiaTheme="majorEastAsia" w:hAnsiTheme="majorBidi" w:cstheme="majorBidi"/>
          <w:sz w:val="20"/>
          <w:szCs w:val="18"/>
        </w:rPr>
        <w:sectPr w:rsidR="00125C09" w:rsidSect="00125C09">
          <w:footerReference w:type="even" r:id="rId32"/>
          <w:type w:val="evenPage"/>
          <w:pgSz w:w="12240" w:h="15840" w:code="1"/>
          <w:pgMar w:top="1800" w:right="1469" w:bottom="1699" w:left="1440" w:header="706" w:footer="706" w:gutter="0"/>
          <w:pgNumType w:start="1"/>
          <w:cols w:num="2" w:space="403"/>
          <w:docGrid w:linePitch="360"/>
        </w:sectPr>
      </w:pPr>
    </w:p>
    <w:p w14:paraId="1AA9156D" w14:textId="77777777" w:rsidR="00C70C3E" w:rsidRPr="004E21B7" w:rsidRDefault="00C70C3E" w:rsidP="00C4691B">
      <w:pPr>
        <w:spacing w:after="0"/>
        <w:rPr>
          <w:rFonts w:asciiTheme="majorBidi" w:eastAsiaTheme="majorEastAsia" w:hAnsiTheme="majorBidi" w:cstheme="majorBidi"/>
          <w:szCs w:val="20"/>
        </w:rPr>
      </w:pPr>
    </w:p>
    <w:p w14:paraId="3306161C" w14:textId="66933203" w:rsidR="00C76FD5" w:rsidRDefault="00C76FD5" w:rsidP="00C76FD5">
      <w:pPr>
        <w:jc w:val="center"/>
        <w:rPr>
          <w:rFonts w:asciiTheme="majorBidi" w:hAnsiTheme="majorBidi" w:cstheme="majorBidi"/>
          <w:b/>
          <w:bCs/>
          <w:i/>
          <w:iCs/>
          <w:szCs w:val="20"/>
        </w:rPr>
      </w:pPr>
      <w:r w:rsidRPr="004E21B7">
        <w:rPr>
          <w:rFonts w:asciiTheme="majorBidi" w:eastAsiaTheme="majorEastAsia" w:hAnsiTheme="majorBidi" w:cstheme="majorBidi"/>
          <w:b/>
          <w:bCs/>
          <w:noProof/>
          <w:szCs w:val="20"/>
          <w:lang w:val="en-AU" w:eastAsia="zh-CN"/>
        </w:rPr>
        <w:drawing>
          <wp:inline distT="0" distB="0" distL="0" distR="0" wp14:anchorId="5D05781D" wp14:editId="29B4053E">
            <wp:extent cx="3502152" cy="2706624"/>
            <wp:effectExtent l="19050" t="19050" r="22225" b="1778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502152" cy="2706624"/>
                    </a:xfrm>
                    <a:prstGeom prst="rect">
                      <a:avLst/>
                    </a:prstGeom>
                    <a:ln>
                      <a:solidFill>
                        <a:schemeClr val="tx1"/>
                      </a:solidFill>
                    </a:ln>
                  </pic:spPr>
                </pic:pic>
              </a:graphicData>
            </a:graphic>
          </wp:inline>
        </w:drawing>
      </w:r>
    </w:p>
    <w:p w14:paraId="5D780A0F" w14:textId="77777777" w:rsidR="00C76FD5" w:rsidRDefault="00C76FD5" w:rsidP="00C76FD5">
      <w:pPr>
        <w:jc w:val="center"/>
        <w:rPr>
          <w:rFonts w:asciiTheme="majorBidi" w:hAnsiTheme="majorBidi" w:cstheme="majorBidi"/>
          <w:sz w:val="20"/>
          <w:szCs w:val="18"/>
        </w:rPr>
      </w:pPr>
      <w:r w:rsidRPr="00C76FD5">
        <w:rPr>
          <w:rFonts w:asciiTheme="majorBidi" w:hAnsiTheme="majorBidi" w:cstheme="majorBidi"/>
          <w:sz w:val="20"/>
          <w:szCs w:val="18"/>
        </w:rPr>
        <w:t>Figure 8. Rejection of BPA by PA-TFC and PSf membrane</w:t>
      </w:r>
    </w:p>
    <w:p w14:paraId="25399F93" w14:textId="77777777" w:rsidR="00F35739" w:rsidRDefault="00F35739" w:rsidP="00C76FD5">
      <w:pPr>
        <w:jc w:val="center"/>
        <w:rPr>
          <w:rFonts w:asciiTheme="majorBidi" w:hAnsiTheme="majorBidi" w:cstheme="majorBidi"/>
          <w:sz w:val="20"/>
          <w:szCs w:val="18"/>
        </w:rPr>
      </w:pPr>
    </w:p>
    <w:p w14:paraId="580F7357" w14:textId="6126B6A4" w:rsidR="00F35739" w:rsidRDefault="00F35739" w:rsidP="00C76FD5">
      <w:pPr>
        <w:jc w:val="center"/>
        <w:rPr>
          <w:rFonts w:asciiTheme="majorBidi" w:hAnsiTheme="majorBidi" w:cstheme="majorBidi"/>
          <w:sz w:val="20"/>
          <w:szCs w:val="18"/>
        </w:rPr>
        <w:sectPr w:rsidR="00F35739" w:rsidSect="00125C09">
          <w:type w:val="continuous"/>
          <w:pgSz w:w="12240" w:h="15840" w:code="1"/>
          <w:pgMar w:top="1800" w:right="1469" w:bottom="1699" w:left="1440" w:header="706" w:footer="706" w:gutter="0"/>
          <w:pgNumType w:start="1"/>
          <w:cols w:space="708"/>
          <w:docGrid w:linePitch="360"/>
        </w:sectPr>
      </w:pPr>
    </w:p>
    <w:p w14:paraId="5E33F699" w14:textId="77777777" w:rsidR="00C76FD5" w:rsidRPr="00C76FD5" w:rsidRDefault="00C76FD5" w:rsidP="00331656">
      <w:pPr>
        <w:spacing w:after="0"/>
        <w:jc w:val="center"/>
        <w:outlineLvl w:val="0"/>
        <w:rPr>
          <w:rFonts w:ascii="Times New Roman" w:hAnsi="Times New Roman"/>
          <w:b/>
          <w:sz w:val="20"/>
          <w:szCs w:val="18"/>
        </w:rPr>
      </w:pPr>
      <w:r w:rsidRPr="00C76FD5">
        <w:rPr>
          <w:rFonts w:ascii="Times New Roman" w:hAnsi="Times New Roman"/>
          <w:b/>
          <w:sz w:val="20"/>
          <w:szCs w:val="18"/>
        </w:rPr>
        <w:t>Conclusion</w:t>
      </w:r>
    </w:p>
    <w:p w14:paraId="0A8841FA" w14:textId="77777777" w:rsidR="00C76FD5" w:rsidRPr="00C76FD5" w:rsidRDefault="00C76FD5" w:rsidP="00C76FD5">
      <w:pPr>
        <w:spacing w:after="0"/>
        <w:jc w:val="both"/>
        <w:outlineLvl w:val="0"/>
        <w:rPr>
          <w:rFonts w:asciiTheme="majorBidi" w:hAnsiTheme="majorBidi" w:cstheme="majorBidi"/>
          <w:sz w:val="20"/>
          <w:szCs w:val="20"/>
        </w:rPr>
      </w:pPr>
      <w:r w:rsidRPr="00C76FD5">
        <w:rPr>
          <w:rFonts w:asciiTheme="majorBidi" w:hAnsiTheme="majorBidi" w:cstheme="majorBidi"/>
          <w:sz w:val="20"/>
          <w:szCs w:val="20"/>
        </w:rPr>
        <w:t>This study assessed the effectiveness of a successfully fabricated PA-TFC membrane on a polysulfone membrane substrate using the interfacial polymerization method. Both membranes were examined and compared for their retention performance of bisphenol-A from a synthetic wastewater solution of 100mg/L using the forward osmosis process. The polyamide-based membrane performed well with a retention efficiency of 91%, whereas the polysulfone membrane retained just approximately 25%. The performance results of both membranes indicate that the fabricated membrane appears to be more promising and provides greater BPA retention than the polysulfone membrane substrate using the forward osmosis technique. It can be used to treat pharmaceutical and industrial wastewaters, which primarily contain small organic pollutants like phenols that are difficult to remove using other conventional or membrane treatment processes.</w:t>
      </w:r>
    </w:p>
    <w:p w14:paraId="2857B7A3" w14:textId="77777777" w:rsidR="00C76FD5" w:rsidRPr="00C76FD5" w:rsidRDefault="00C76FD5" w:rsidP="00C76FD5">
      <w:pPr>
        <w:spacing w:after="0"/>
        <w:jc w:val="both"/>
        <w:outlineLvl w:val="0"/>
        <w:rPr>
          <w:rFonts w:asciiTheme="majorBidi" w:hAnsiTheme="majorBidi" w:cstheme="majorBidi"/>
          <w:b/>
          <w:sz w:val="20"/>
          <w:szCs w:val="18"/>
        </w:rPr>
      </w:pPr>
    </w:p>
    <w:p w14:paraId="482CBB4F" w14:textId="77777777" w:rsidR="00C76FD5" w:rsidRPr="00C76FD5" w:rsidRDefault="00C76FD5" w:rsidP="00C76FD5">
      <w:pPr>
        <w:spacing w:after="0"/>
        <w:jc w:val="center"/>
        <w:outlineLvl w:val="0"/>
        <w:rPr>
          <w:rFonts w:ascii="Times New Roman" w:hAnsi="Times New Roman"/>
          <w:b/>
          <w:sz w:val="20"/>
          <w:szCs w:val="18"/>
        </w:rPr>
      </w:pPr>
      <w:r w:rsidRPr="00C76FD5">
        <w:rPr>
          <w:rFonts w:ascii="Times New Roman" w:hAnsi="Times New Roman"/>
          <w:b/>
          <w:sz w:val="20"/>
          <w:szCs w:val="18"/>
        </w:rPr>
        <w:t>Acknowledgement</w:t>
      </w:r>
    </w:p>
    <w:p w14:paraId="1B6AC388" w14:textId="08A80F30" w:rsidR="00631AFB" w:rsidRDefault="00C76FD5" w:rsidP="00C76FD5">
      <w:pPr>
        <w:spacing w:after="0"/>
        <w:jc w:val="both"/>
        <w:outlineLvl w:val="0"/>
        <w:rPr>
          <w:rFonts w:ascii="Times New Roman" w:hAnsi="Times New Roman"/>
          <w:bCs/>
          <w:sz w:val="20"/>
          <w:szCs w:val="18"/>
        </w:rPr>
      </w:pPr>
      <w:r w:rsidRPr="00C76FD5">
        <w:rPr>
          <w:rFonts w:ascii="Times New Roman" w:hAnsi="Times New Roman"/>
          <w:bCs/>
          <w:sz w:val="20"/>
          <w:szCs w:val="18"/>
        </w:rPr>
        <w:t>This research work was supported by the Yayasan Universiti Teknologi PETRONAS (Grant No: 015MD0-</w:t>
      </w:r>
      <w:r w:rsidRPr="00C76FD5">
        <w:rPr>
          <w:rFonts w:ascii="Times New Roman" w:hAnsi="Times New Roman"/>
          <w:bCs/>
          <w:sz w:val="20"/>
          <w:szCs w:val="18"/>
        </w:rPr>
        <w:t>056) research grant. In addition, the authors thankfully acknowledge the support from the Centralized Analytical Lab (CAL) and the technical assistance offered by the Chemical Engineering Department throughout the experimental work.</w:t>
      </w:r>
    </w:p>
    <w:p w14:paraId="325B5285" w14:textId="77777777" w:rsidR="00F35739" w:rsidRDefault="00F35739" w:rsidP="00C76FD5">
      <w:pPr>
        <w:spacing w:after="0"/>
        <w:jc w:val="both"/>
        <w:outlineLvl w:val="0"/>
        <w:rPr>
          <w:rFonts w:ascii="Times New Roman" w:hAnsi="Times New Roman"/>
          <w:bCs/>
          <w:sz w:val="20"/>
          <w:szCs w:val="18"/>
        </w:rPr>
      </w:pPr>
    </w:p>
    <w:p w14:paraId="62FDBEE8" w14:textId="77777777" w:rsidR="00F35739" w:rsidRPr="008F5F0F" w:rsidRDefault="00F35739" w:rsidP="008F5F0F">
      <w:pPr>
        <w:spacing w:after="0"/>
        <w:jc w:val="center"/>
        <w:outlineLvl w:val="0"/>
        <w:rPr>
          <w:rFonts w:ascii="Times New Roman" w:hAnsi="Times New Roman"/>
          <w:b/>
          <w:sz w:val="20"/>
          <w:szCs w:val="20"/>
        </w:rPr>
      </w:pPr>
      <w:bookmarkStart w:id="4" w:name="_Hlk105844343"/>
      <w:r w:rsidRPr="008F5F0F">
        <w:rPr>
          <w:rFonts w:ascii="Times New Roman" w:hAnsi="Times New Roman"/>
          <w:b/>
          <w:sz w:val="20"/>
          <w:szCs w:val="20"/>
        </w:rPr>
        <w:t>References</w:t>
      </w:r>
    </w:p>
    <w:p w14:paraId="3B91BAD3" w14:textId="77777777" w:rsidR="00F35739" w:rsidRPr="008F5F0F" w:rsidRDefault="00F35739" w:rsidP="008F5F0F">
      <w:pPr>
        <w:pStyle w:val="Bibliography"/>
        <w:widowControl w:val="0"/>
        <w:numPr>
          <w:ilvl w:val="0"/>
          <w:numId w:val="3"/>
        </w:numPr>
        <w:autoSpaceDE w:val="0"/>
        <w:autoSpaceDN w:val="0"/>
        <w:spacing w:after="0"/>
        <w:ind w:left="360"/>
        <w:jc w:val="both"/>
        <w:rPr>
          <w:rFonts w:ascii="Times New Roman" w:hAnsi="Times New Roman"/>
          <w:sz w:val="20"/>
          <w:szCs w:val="20"/>
          <w:lang w:val="en-GB"/>
        </w:rPr>
      </w:pPr>
      <w:r w:rsidRPr="008F5F0F">
        <w:rPr>
          <w:rFonts w:ascii="Times New Roman" w:hAnsi="Times New Roman"/>
          <w:sz w:val="20"/>
          <w:szCs w:val="20"/>
        </w:rPr>
        <w:fldChar w:fldCharType="begin" w:fldLock="1"/>
      </w:r>
      <w:r w:rsidRPr="008F5F0F">
        <w:rPr>
          <w:rFonts w:ascii="Times New Roman" w:hAnsi="Times New Roman"/>
          <w:sz w:val="20"/>
          <w:szCs w:val="20"/>
          <w:lang w:val="de-DE"/>
        </w:rPr>
        <w:instrText xml:space="preserve"> ADDIN ZOTERO_BIBL {"uncited":[],"omitted":[],"custom":[]} CSL_BIBLIOGRAPHY </w:instrText>
      </w:r>
      <w:r w:rsidRPr="008F5F0F">
        <w:rPr>
          <w:rFonts w:ascii="Times New Roman" w:hAnsi="Times New Roman"/>
          <w:sz w:val="20"/>
          <w:szCs w:val="20"/>
        </w:rPr>
        <w:fldChar w:fldCharType="separate"/>
      </w:r>
      <w:r w:rsidRPr="008F5F0F">
        <w:rPr>
          <w:rFonts w:ascii="Times New Roman" w:hAnsi="Times New Roman"/>
          <w:sz w:val="20"/>
          <w:szCs w:val="20"/>
          <w:lang w:val="de-DE"/>
        </w:rPr>
        <w:t xml:space="preserve">Li, J., Liu, Q., Liu, Y. and Xie, J. (2017). </w:t>
      </w:r>
      <w:r w:rsidRPr="008F5F0F">
        <w:rPr>
          <w:rFonts w:ascii="Times New Roman" w:hAnsi="Times New Roman"/>
          <w:sz w:val="20"/>
          <w:szCs w:val="20"/>
          <w:lang w:val="en-GB"/>
        </w:rPr>
        <w:t xml:space="preserve">Development of electro-active forward osmosis membranes to remove phenolic compounds and reject salts. </w:t>
      </w:r>
      <w:r w:rsidRPr="008F5F0F">
        <w:rPr>
          <w:rFonts w:ascii="Times New Roman" w:hAnsi="Times New Roman"/>
          <w:i/>
          <w:iCs/>
          <w:sz w:val="20"/>
          <w:szCs w:val="20"/>
          <w:lang w:val="en-GB"/>
        </w:rPr>
        <w:t>Environmental Science: Water Research &amp; Technology</w:t>
      </w:r>
      <w:r w:rsidRPr="008F5F0F">
        <w:rPr>
          <w:rFonts w:ascii="Times New Roman" w:hAnsi="Times New Roman"/>
          <w:sz w:val="20"/>
          <w:szCs w:val="20"/>
          <w:lang w:val="en-GB"/>
        </w:rPr>
        <w:t>, 3(1): 139-146.</w:t>
      </w:r>
    </w:p>
    <w:p w14:paraId="60B903BF" w14:textId="77777777" w:rsidR="00F35739" w:rsidRPr="008F5F0F" w:rsidRDefault="00F35739" w:rsidP="008F5F0F">
      <w:pPr>
        <w:pStyle w:val="ListParagraph"/>
        <w:widowControl w:val="0"/>
        <w:numPr>
          <w:ilvl w:val="0"/>
          <w:numId w:val="3"/>
        </w:numPr>
        <w:autoSpaceDE w:val="0"/>
        <w:autoSpaceDN w:val="0"/>
        <w:spacing w:after="0"/>
        <w:ind w:left="360"/>
        <w:contextualSpacing w:val="0"/>
        <w:jc w:val="both"/>
        <w:rPr>
          <w:rFonts w:ascii="Times New Roman" w:hAnsi="Times New Roman"/>
          <w:noProof/>
          <w:sz w:val="20"/>
          <w:szCs w:val="20"/>
        </w:rPr>
      </w:pPr>
      <w:r w:rsidRPr="008F5F0F">
        <w:rPr>
          <w:rFonts w:ascii="Times New Roman" w:hAnsi="Times New Roman"/>
          <w:sz w:val="20"/>
          <w:szCs w:val="20"/>
        </w:rPr>
        <w:fldChar w:fldCharType="end"/>
      </w:r>
      <w:r w:rsidRPr="008F5F0F">
        <w:rPr>
          <w:rFonts w:ascii="Times New Roman" w:hAnsi="Times New Roman"/>
          <w:noProof/>
          <w:sz w:val="20"/>
          <w:szCs w:val="20"/>
        </w:rPr>
        <w:t xml:space="preserve">Silva, C. P., Otero, M. and Esteves, V. (2012). Processes for the elimination of estrogenic steroid hormones from water: A review. </w:t>
      </w:r>
      <w:r w:rsidRPr="008F5F0F">
        <w:rPr>
          <w:rFonts w:ascii="Times New Roman" w:hAnsi="Times New Roman"/>
          <w:i/>
          <w:iCs/>
          <w:noProof/>
          <w:sz w:val="20"/>
          <w:szCs w:val="20"/>
        </w:rPr>
        <w:t>Environmental Pollution</w:t>
      </w:r>
      <w:r w:rsidRPr="008F5F0F">
        <w:rPr>
          <w:rFonts w:ascii="Times New Roman" w:hAnsi="Times New Roman"/>
          <w:noProof/>
          <w:sz w:val="20"/>
          <w:szCs w:val="20"/>
        </w:rPr>
        <w:t>, 165: 38-58.</w:t>
      </w:r>
    </w:p>
    <w:p w14:paraId="34D1A116" w14:textId="747986FD" w:rsidR="00F35739" w:rsidRPr="008F5F0F" w:rsidRDefault="00F35739" w:rsidP="008F5F0F">
      <w:pPr>
        <w:pStyle w:val="ListParagraph"/>
        <w:widowControl w:val="0"/>
        <w:numPr>
          <w:ilvl w:val="0"/>
          <w:numId w:val="3"/>
        </w:numPr>
        <w:autoSpaceDE w:val="0"/>
        <w:autoSpaceDN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Xiao, M., Zhou, J., Tan, Y., Zhang, A., Xia, Y. and Ji, L. (2006). Treatment of highly-concentrated phenol wastewater with an extractive membrane reactor using silicone rubber. </w:t>
      </w:r>
      <w:r w:rsidRPr="008F5F0F">
        <w:rPr>
          <w:rFonts w:ascii="Times New Roman" w:hAnsi="Times New Roman"/>
          <w:i/>
          <w:iCs/>
          <w:noProof/>
          <w:sz w:val="20"/>
          <w:szCs w:val="20"/>
        </w:rPr>
        <w:t>Desalination</w:t>
      </w:r>
      <w:r w:rsidRPr="008F5F0F">
        <w:rPr>
          <w:rFonts w:ascii="Times New Roman" w:hAnsi="Times New Roman"/>
          <w:noProof/>
          <w:sz w:val="20"/>
          <w:szCs w:val="20"/>
        </w:rPr>
        <w:t>, 195(1-3): 281-293.</w:t>
      </w:r>
    </w:p>
    <w:p w14:paraId="753C8D78" w14:textId="0A5D6FB8" w:rsidR="00F35739" w:rsidRPr="008F5F0F" w:rsidRDefault="00F35739" w:rsidP="008F5F0F">
      <w:pPr>
        <w:widowControl w:val="0"/>
        <w:autoSpaceDE w:val="0"/>
        <w:autoSpaceDN w:val="0"/>
        <w:spacing w:after="0"/>
        <w:jc w:val="both"/>
        <w:rPr>
          <w:rFonts w:ascii="Times New Roman" w:hAnsi="Times New Roman"/>
          <w:noProof/>
          <w:sz w:val="20"/>
          <w:szCs w:val="20"/>
        </w:rPr>
      </w:pPr>
    </w:p>
    <w:p w14:paraId="3D93AF33" w14:textId="77777777" w:rsidR="00F35739" w:rsidRPr="008F5F0F" w:rsidRDefault="00F35739" w:rsidP="008F5F0F">
      <w:pPr>
        <w:widowControl w:val="0"/>
        <w:autoSpaceDE w:val="0"/>
        <w:autoSpaceDN w:val="0"/>
        <w:spacing w:after="0"/>
        <w:jc w:val="both"/>
        <w:rPr>
          <w:rFonts w:ascii="Times New Roman" w:hAnsi="Times New Roman"/>
          <w:noProof/>
          <w:sz w:val="20"/>
          <w:szCs w:val="20"/>
        </w:rPr>
      </w:pPr>
    </w:p>
    <w:p w14:paraId="691D95A4" w14:textId="77777777" w:rsidR="00F35739" w:rsidRPr="008F5F0F" w:rsidRDefault="00F35739" w:rsidP="008F5F0F">
      <w:pPr>
        <w:pStyle w:val="ListParagraph"/>
        <w:widowControl w:val="0"/>
        <w:numPr>
          <w:ilvl w:val="0"/>
          <w:numId w:val="3"/>
        </w:numPr>
        <w:autoSpaceDE w:val="0"/>
        <w:autoSpaceDN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lastRenderedPageBreak/>
        <w:t xml:space="preserve">Mohammadi, S., Kargari, A., Sanaeepur, H., Abbassian, K., Najafi, A. and Mofarrah, E. (2015). Phenol removal from industrial wastewaters: a short review. </w:t>
      </w:r>
      <w:r w:rsidRPr="008F5F0F">
        <w:rPr>
          <w:rFonts w:ascii="Times New Roman" w:hAnsi="Times New Roman"/>
          <w:i/>
          <w:iCs/>
          <w:noProof/>
          <w:sz w:val="20"/>
          <w:szCs w:val="20"/>
        </w:rPr>
        <w:t>Desalination and Water Treatment</w:t>
      </w:r>
      <w:r w:rsidRPr="008F5F0F">
        <w:rPr>
          <w:rFonts w:ascii="Times New Roman" w:hAnsi="Times New Roman"/>
          <w:noProof/>
          <w:sz w:val="20"/>
          <w:szCs w:val="20"/>
        </w:rPr>
        <w:t>, 53(8): 2215-2234.</w:t>
      </w:r>
    </w:p>
    <w:p w14:paraId="2F02ADD0" w14:textId="77777777" w:rsidR="00F35739" w:rsidRPr="008F5F0F" w:rsidRDefault="00F35739" w:rsidP="008F5F0F">
      <w:pPr>
        <w:pStyle w:val="ListParagraph"/>
        <w:widowControl w:val="0"/>
        <w:numPr>
          <w:ilvl w:val="0"/>
          <w:numId w:val="3"/>
        </w:numPr>
        <w:autoSpaceDE w:val="0"/>
        <w:autoSpaceDN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Huang, Y. Q., Wong, C. K. C., Zheng, J. S., Bouwman, H., Barra, R., Wahlström, B., Neretin, L., &amp; Wong, M. H. (2012). Bisphenol A (BPA) in China: A review of sources, environmental levels, and potential human health impacts. </w:t>
      </w:r>
      <w:r w:rsidRPr="008F5F0F">
        <w:rPr>
          <w:rFonts w:ascii="Times New Roman" w:hAnsi="Times New Roman"/>
          <w:i/>
          <w:iCs/>
          <w:noProof/>
          <w:sz w:val="20"/>
          <w:szCs w:val="20"/>
        </w:rPr>
        <w:t>Environment International</w:t>
      </w:r>
      <w:r w:rsidRPr="008F5F0F">
        <w:rPr>
          <w:rFonts w:ascii="Times New Roman" w:hAnsi="Times New Roman"/>
          <w:noProof/>
          <w:sz w:val="20"/>
          <w:szCs w:val="20"/>
        </w:rPr>
        <w:t>, 42: 91-99.</w:t>
      </w:r>
    </w:p>
    <w:p w14:paraId="14D2DA5C" w14:textId="77777777" w:rsidR="00F35739" w:rsidRPr="008F5F0F" w:rsidRDefault="00F35739" w:rsidP="008F5F0F">
      <w:pPr>
        <w:pStyle w:val="ListParagraph"/>
        <w:widowControl w:val="0"/>
        <w:numPr>
          <w:ilvl w:val="0"/>
          <w:numId w:val="3"/>
        </w:numPr>
        <w:autoSpaceDE w:val="0"/>
        <w:autoSpaceDN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Kumar, A., Gupta, K., Tomer, V., Kaur, A., &amp; Kumar, V. (2018). </w:t>
      </w:r>
      <w:r w:rsidRPr="008F5F0F">
        <w:rPr>
          <w:rFonts w:ascii="Times New Roman" w:hAnsi="Times New Roman"/>
          <w:noProof/>
          <w:sz w:val="20"/>
          <w:szCs w:val="20"/>
        </w:rPr>
        <w:t xml:space="preserve">Bisphenols as human health hazard: A systematic review on potent sources, route of exposure, harmful effects and safe alternatives. </w:t>
      </w:r>
      <w:r w:rsidRPr="008F5F0F">
        <w:rPr>
          <w:rFonts w:ascii="Times New Roman" w:hAnsi="Times New Roman"/>
          <w:i/>
          <w:iCs/>
          <w:noProof/>
          <w:sz w:val="20"/>
          <w:szCs w:val="20"/>
        </w:rPr>
        <w:t>Toxicology International</w:t>
      </w:r>
      <w:r w:rsidRPr="008F5F0F">
        <w:rPr>
          <w:rFonts w:ascii="Times New Roman" w:hAnsi="Times New Roman"/>
          <w:noProof/>
          <w:sz w:val="20"/>
          <w:szCs w:val="20"/>
        </w:rPr>
        <w:t xml:space="preserve">, </w:t>
      </w:r>
      <w:r w:rsidRPr="008F5F0F">
        <w:rPr>
          <w:rFonts w:ascii="Times New Roman" w:hAnsi="Times New Roman"/>
          <w:i/>
          <w:iCs/>
          <w:noProof/>
          <w:sz w:val="20"/>
          <w:szCs w:val="20"/>
        </w:rPr>
        <w:t>25</w:t>
      </w:r>
      <w:r w:rsidRPr="008F5F0F">
        <w:rPr>
          <w:rFonts w:ascii="Times New Roman" w:hAnsi="Times New Roman"/>
          <w:noProof/>
          <w:sz w:val="20"/>
          <w:szCs w:val="20"/>
        </w:rPr>
        <w:t xml:space="preserve">(1): 78–-92. </w:t>
      </w:r>
    </w:p>
    <w:p w14:paraId="780FAE12"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Katibi, K. K., Yunos, K. F., Man, H. C., Aris, A. Z., Mohd Nor, M. Z. and Azis, R. S. (2021). </w:t>
      </w:r>
      <w:r w:rsidRPr="008F5F0F">
        <w:rPr>
          <w:rFonts w:ascii="Times New Roman" w:hAnsi="Times New Roman"/>
          <w:noProof/>
          <w:sz w:val="20"/>
          <w:szCs w:val="20"/>
        </w:rPr>
        <w:t xml:space="preserve">Recent advances in the rejection of endocrine-disrupting compounds from water using membrane and membrane bioreactor technologies: A review. </w:t>
      </w:r>
      <w:r w:rsidRPr="008F5F0F">
        <w:rPr>
          <w:rFonts w:ascii="Times New Roman" w:hAnsi="Times New Roman"/>
          <w:i/>
          <w:iCs/>
          <w:noProof/>
          <w:sz w:val="20"/>
          <w:szCs w:val="20"/>
        </w:rPr>
        <w:t>Polymers</w:t>
      </w:r>
      <w:r w:rsidRPr="008F5F0F">
        <w:rPr>
          <w:rFonts w:ascii="Times New Roman" w:hAnsi="Times New Roman"/>
          <w:noProof/>
          <w:sz w:val="20"/>
          <w:szCs w:val="20"/>
        </w:rPr>
        <w:t>, 13(3): 392.</w:t>
      </w:r>
    </w:p>
    <w:p w14:paraId="0C95E0A7"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Tsai, W. T. (2006). Human health risk on environmental exposure to bisphenol-A: A review. </w:t>
      </w:r>
      <w:r w:rsidRPr="008F5F0F">
        <w:rPr>
          <w:rFonts w:ascii="Times New Roman" w:hAnsi="Times New Roman"/>
          <w:i/>
          <w:iCs/>
          <w:noProof/>
          <w:sz w:val="20"/>
          <w:szCs w:val="20"/>
        </w:rPr>
        <w:t>Journal of Environmental Science and Health - Part C Environmental Carcinogenesis and Ecotoxicology Reviews</w:t>
      </w:r>
      <w:r w:rsidRPr="008F5F0F">
        <w:rPr>
          <w:rFonts w:ascii="Times New Roman" w:hAnsi="Times New Roman"/>
          <w:noProof/>
          <w:sz w:val="20"/>
          <w:szCs w:val="20"/>
        </w:rPr>
        <w:t xml:space="preserve">, </w:t>
      </w:r>
      <w:r w:rsidRPr="008F5F0F">
        <w:rPr>
          <w:rFonts w:ascii="Times New Roman" w:hAnsi="Times New Roman"/>
          <w:i/>
          <w:iCs/>
          <w:noProof/>
          <w:sz w:val="20"/>
          <w:szCs w:val="20"/>
        </w:rPr>
        <w:t>24</w:t>
      </w:r>
      <w:r w:rsidRPr="008F5F0F">
        <w:rPr>
          <w:rFonts w:ascii="Times New Roman" w:hAnsi="Times New Roman"/>
          <w:noProof/>
          <w:sz w:val="20"/>
          <w:szCs w:val="20"/>
        </w:rPr>
        <w:t xml:space="preserve">(2), 225-255. </w:t>
      </w:r>
    </w:p>
    <w:p w14:paraId="6CD820BC"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Rubin, B. S. (2011). Bisphenol A: An endocrine disruptor with widespread exposure and multiple effects. </w:t>
      </w:r>
      <w:r w:rsidRPr="008F5F0F">
        <w:rPr>
          <w:rFonts w:ascii="Times New Roman" w:hAnsi="Times New Roman"/>
          <w:i/>
          <w:iCs/>
          <w:noProof/>
          <w:sz w:val="20"/>
          <w:szCs w:val="20"/>
        </w:rPr>
        <w:t>Journal of Steroid Biochemistry and Molecular Biology</w:t>
      </w:r>
      <w:r w:rsidRPr="008F5F0F">
        <w:rPr>
          <w:rFonts w:ascii="Times New Roman" w:hAnsi="Times New Roman"/>
          <w:noProof/>
          <w:sz w:val="20"/>
          <w:szCs w:val="20"/>
        </w:rPr>
        <w:t xml:space="preserve">, 127(1–2): 27-34. </w:t>
      </w:r>
    </w:p>
    <w:p w14:paraId="3A6CC3BC"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Viñas, R., Jeng, Y. J. and Watson, C. S. (2012). Non-genomic effects of xenoestrogen mixtures. </w:t>
      </w:r>
      <w:r w:rsidRPr="008F5F0F">
        <w:rPr>
          <w:rFonts w:ascii="Times New Roman" w:hAnsi="Times New Roman"/>
          <w:i/>
          <w:iCs/>
          <w:noProof/>
          <w:sz w:val="20"/>
          <w:szCs w:val="20"/>
        </w:rPr>
        <w:t>International Journal of Environmental Research and Public Health</w:t>
      </w:r>
      <w:r w:rsidRPr="008F5F0F">
        <w:rPr>
          <w:rFonts w:ascii="Times New Roman" w:hAnsi="Times New Roman"/>
          <w:noProof/>
          <w:sz w:val="20"/>
          <w:szCs w:val="20"/>
        </w:rPr>
        <w:t xml:space="preserve">, 9(8): 2694-2714. </w:t>
      </w:r>
    </w:p>
    <w:p w14:paraId="799DCB73"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Zoeller, R. T., &amp; Belcher, S. M. (2007). </w:t>
      </w:r>
      <w:r w:rsidRPr="008F5F0F">
        <w:rPr>
          <w:rFonts w:ascii="Times New Roman" w:hAnsi="Times New Roman"/>
          <w:noProof/>
          <w:sz w:val="20"/>
          <w:szCs w:val="20"/>
        </w:rPr>
        <w:t xml:space="preserve">In vitro molecular mechanisms of bisphenol A action. </w:t>
      </w:r>
      <w:r w:rsidRPr="008F5F0F">
        <w:rPr>
          <w:rFonts w:ascii="Times New Roman" w:hAnsi="Times New Roman"/>
          <w:i/>
          <w:iCs/>
          <w:noProof/>
          <w:sz w:val="20"/>
          <w:szCs w:val="20"/>
        </w:rPr>
        <w:t>Reproductive Toxicology</w:t>
      </w:r>
      <w:r w:rsidRPr="008F5F0F">
        <w:rPr>
          <w:rFonts w:ascii="Times New Roman" w:hAnsi="Times New Roman"/>
          <w:noProof/>
          <w:sz w:val="20"/>
          <w:szCs w:val="20"/>
        </w:rPr>
        <w:t>, 24(2): 178-198.</w:t>
      </w:r>
    </w:p>
    <w:p w14:paraId="3592F7E9"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Rochester, J. R. (2013). Bisphenol A and human health: A review of the literature. </w:t>
      </w:r>
      <w:r w:rsidRPr="008F5F0F">
        <w:rPr>
          <w:rFonts w:ascii="Times New Roman" w:hAnsi="Times New Roman"/>
          <w:i/>
          <w:iCs/>
          <w:noProof/>
          <w:sz w:val="20"/>
          <w:szCs w:val="20"/>
        </w:rPr>
        <w:t>Reproductive Toxicology</w:t>
      </w:r>
      <w:r w:rsidRPr="008F5F0F">
        <w:rPr>
          <w:rFonts w:ascii="Times New Roman" w:hAnsi="Times New Roman"/>
          <w:noProof/>
          <w:sz w:val="20"/>
          <w:szCs w:val="20"/>
        </w:rPr>
        <w:t>, 42: 132-155.</w:t>
      </w:r>
    </w:p>
    <w:p w14:paraId="623D664E"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Kundakovic, M. and Champagne, F. A. (2011). Epigenetic perspective on the developmental effects of bisphenol A. </w:t>
      </w:r>
      <w:r w:rsidRPr="008F5F0F">
        <w:rPr>
          <w:rFonts w:ascii="Times New Roman" w:hAnsi="Times New Roman"/>
          <w:i/>
          <w:iCs/>
          <w:noProof/>
          <w:sz w:val="20"/>
          <w:szCs w:val="20"/>
        </w:rPr>
        <w:t>Brain, Behavior, and Immunity</w:t>
      </w:r>
      <w:r w:rsidRPr="008F5F0F">
        <w:rPr>
          <w:rFonts w:ascii="Times New Roman" w:hAnsi="Times New Roman"/>
          <w:noProof/>
          <w:sz w:val="20"/>
          <w:szCs w:val="20"/>
        </w:rPr>
        <w:t>, 25(6): 1084-1093.</w:t>
      </w:r>
    </w:p>
    <w:p w14:paraId="688AB52C"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Chen, H. W., Liang, C. H., Wu, Z. M., Chang, E. E., Lin, T. F., Chiang, P. C. and Wang, G. S. (2013). </w:t>
      </w:r>
      <w:r w:rsidRPr="008F5F0F">
        <w:rPr>
          <w:rFonts w:ascii="Times New Roman" w:hAnsi="Times New Roman"/>
          <w:noProof/>
          <w:sz w:val="20"/>
          <w:szCs w:val="20"/>
        </w:rPr>
        <w:t xml:space="preserve">Occurrence and assessment of treatment efficiency of nonylphenol, octylphenol and bisphenol-A in drinking water in Taiwan. </w:t>
      </w:r>
      <w:r w:rsidRPr="008F5F0F">
        <w:rPr>
          <w:rFonts w:ascii="Times New Roman" w:hAnsi="Times New Roman"/>
          <w:i/>
          <w:iCs/>
          <w:noProof/>
          <w:sz w:val="20"/>
          <w:szCs w:val="20"/>
        </w:rPr>
        <w:t>Science of the Total Environment</w:t>
      </w:r>
      <w:r w:rsidRPr="008F5F0F">
        <w:rPr>
          <w:rFonts w:ascii="Times New Roman" w:hAnsi="Times New Roman"/>
          <w:noProof/>
          <w:sz w:val="20"/>
          <w:szCs w:val="20"/>
        </w:rPr>
        <w:t xml:space="preserve">, 449: 20-28. </w:t>
      </w:r>
    </w:p>
    <w:p w14:paraId="2C5535F9"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Kleywegt, S., Pileggi, V., Yang, P., Hao, C., Zhao, X., Rocks, C., Thach, S., Cheung, P. and Whitehead, B. (2011). Pharmaceuticals, hormones and bisphenol A in untreated source and finished drinking water in Ontario, Canada - Occurrence and treatment efficiency. </w:t>
      </w:r>
      <w:r w:rsidRPr="008F5F0F">
        <w:rPr>
          <w:rFonts w:ascii="Times New Roman" w:hAnsi="Times New Roman"/>
          <w:i/>
          <w:iCs/>
          <w:noProof/>
          <w:sz w:val="20"/>
          <w:szCs w:val="20"/>
        </w:rPr>
        <w:t>Science of the Total Environment</w:t>
      </w:r>
      <w:r w:rsidRPr="008F5F0F">
        <w:rPr>
          <w:rFonts w:ascii="Times New Roman" w:hAnsi="Times New Roman"/>
          <w:noProof/>
          <w:sz w:val="20"/>
          <w:szCs w:val="20"/>
        </w:rPr>
        <w:t>, 409(8): 1481-1488.</w:t>
      </w:r>
    </w:p>
    <w:p w14:paraId="5C0454E4"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Sodré, F. F., Locatelli, M. A. F. and Jardim, W. F. (2010). Occurrence of emerging contaminants in Brazilian drinking waters: A sewage-to-tap issue. </w:t>
      </w:r>
      <w:r w:rsidRPr="008F5F0F">
        <w:rPr>
          <w:rFonts w:ascii="Times New Roman" w:hAnsi="Times New Roman"/>
          <w:i/>
          <w:iCs/>
          <w:noProof/>
          <w:sz w:val="20"/>
          <w:szCs w:val="20"/>
        </w:rPr>
        <w:t>Water, Air, and Soil Pollution</w:t>
      </w:r>
      <w:r w:rsidRPr="008F5F0F">
        <w:rPr>
          <w:rFonts w:ascii="Times New Roman" w:hAnsi="Times New Roman"/>
          <w:noProof/>
          <w:sz w:val="20"/>
          <w:szCs w:val="20"/>
        </w:rPr>
        <w:t xml:space="preserve">, 206(1–4): 57-67. </w:t>
      </w:r>
    </w:p>
    <w:p w14:paraId="2D399AF3"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Muhamad, M. S., Salim, M. R., Lau, W. J. and Yusop, Z. (2016). A review on bisphenol A occurrences, health effects and treatment process via membrane technology for drinking water. </w:t>
      </w:r>
      <w:r w:rsidRPr="008F5F0F">
        <w:rPr>
          <w:rFonts w:ascii="Times New Roman" w:hAnsi="Times New Roman"/>
          <w:i/>
          <w:iCs/>
          <w:noProof/>
          <w:sz w:val="20"/>
          <w:szCs w:val="20"/>
        </w:rPr>
        <w:t>Environmental Science and Pollution Research</w:t>
      </w:r>
      <w:r w:rsidRPr="008F5F0F">
        <w:rPr>
          <w:rFonts w:ascii="Times New Roman" w:hAnsi="Times New Roman"/>
          <w:noProof/>
          <w:sz w:val="20"/>
          <w:szCs w:val="20"/>
        </w:rPr>
        <w:t>, 23(12): 11549-11567.</w:t>
      </w:r>
    </w:p>
    <w:p w14:paraId="5459B2D8" w14:textId="5B522005"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Yüksel, S., Kabay, N. and Yüksel, M. (2013). Removal of bisphenol A (BPA) from water by various nanofiltration (NF) and reverse osmosis (RO) membranes. </w:t>
      </w:r>
      <w:r w:rsidRPr="008F5F0F">
        <w:rPr>
          <w:rFonts w:ascii="Times New Roman" w:hAnsi="Times New Roman"/>
          <w:i/>
          <w:iCs/>
          <w:noProof/>
          <w:sz w:val="20"/>
          <w:szCs w:val="20"/>
        </w:rPr>
        <w:t>Journal of Hazardous Materials</w:t>
      </w:r>
      <w:r w:rsidRPr="008F5F0F">
        <w:rPr>
          <w:rFonts w:ascii="Times New Roman" w:hAnsi="Times New Roman"/>
          <w:noProof/>
          <w:sz w:val="20"/>
          <w:szCs w:val="20"/>
        </w:rPr>
        <w:t>, 263: 307-310.</w:t>
      </w:r>
    </w:p>
    <w:p w14:paraId="4E7F9B84"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Mehwish, N., Kausar, A. and Siddiq, M. (2014). Advances in Polymer-based Nanostructured Membranes for Water Treatment. </w:t>
      </w:r>
      <w:r w:rsidRPr="008F5F0F">
        <w:rPr>
          <w:rFonts w:ascii="Times New Roman" w:hAnsi="Times New Roman"/>
          <w:i/>
          <w:iCs/>
          <w:noProof/>
          <w:sz w:val="20"/>
          <w:szCs w:val="20"/>
        </w:rPr>
        <w:t>Polymer - Plastics Technology and Engineering</w:t>
      </w:r>
      <w:r w:rsidRPr="008F5F0F">
        <w:rPr>
          <w:rFonts w:ascii="Times New Roman" w:hAnsi="Times New Roman"/>
          <w:noProof/>
          <w:sz w:val="20"/>
          <w:szCs w:val="20"/>
        </w:rPr>
        <w:t xml:space="preserve">, 53(12): 1290-1316. </w:t>
      </w:r>
    </w:p>
    <w:p w14:paraId="107DE7E1"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Kim, I. C. And Lee, K. H. (2003). </w:t>
      </w:r>
      <w:r w:rsidRPr="008F5F0F">
        <w:rPr>
          <w:rFonts w:ascii="Times New Roman" w:hAnsi="Times New Roman"/>
          <w:noProof/>
          <w:sz w:val="20"/>
          <w:szCs w:val="20"/>
        </w:rPr>
        <w:t xml:space="preserve">Effect of various additives on pore size of polysulfone membrane by phase-inversion process. </w:t>
      </w:r>
      <w:r w:rsidRPr="008F5F0F">
        <w:rPr>
          <w:rFonts w:ascii="Times New Roman" w:hAnsi="Times New Roman"/>
          <w:i/>
          <w:iCs/>
          <w:noProof/>
          <w:sz w:val="20"/>
          <w:szCs w:val="20"/>
        </w:rPr>
        <w:t>Journal of Applied Polymer Science</w:t>
      </w:r>
      <w:r w:rsidRPr="008F5F0F">
        <w:rPr>
          <w:rFonts w:ascii="Times New Roman" w:hAnsi="Times New Roman"/>
          <w:noProof/>
          <w:sz w:val="20"/>
          <w:szCs w:val="20"/>
        </w:rPr>
        <w:t xml:space="preserve">, 89(9): 2562-2566.  </w:t>
      </w:r>
    </w:p>
    <w:p w14:paraId="49355CCF" w14:textId="6DF294C3"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Zhao, F. B., Tang, C. C., Liu, X. Y., Shi, F. J., Song, X. R., Tian, Y. and Li, Z. S. (2015). Transportation characteristics of bisphenol A on ultrafiltration membrane with low molecule weight cut-off. </w:t>
      </w:r>
      <w:r w:rsidRPr="008F5F0F">
        <w:rPr>
          <w:rFonts w:ascii="Times New Roman" w:hAnsi="Times New Roman"/>
          <w:i/>
          <w:iCs/>
          <w:noProof/>
          <w:sz w:val="20"/>
          <w:szCs w:val="20"/>
        </w:rPr>
        <w:t>Desalination</w:t>
      </w:r>
      <w:r w:rsidRPr="008F5F0F">
        <w:rPr>
          <w:rFonts w:ascii="Times New Roman" w:hAnsi="Times New Roman"/>
          <w:noProof/>
          <w:sz w:val="20"/>
          <w:szCs w:val="20"/>
        </w:rPr>
        <w:t xml:space="preserve">, 362: 18-25. </w:t>
      </w:r>
    </w:p>
    <w:p w14:paraId="0E41FA7F" w14:textId="58396BF9" w:rsidR="00AD16D0" w:rsidRPr="008F5F0F" w:rsidRDefault="00AD16D0" w:rsidP="008F5F0F">
      <w:pPr>
        <w:widowControl w:val="0"/>
        <w:autoSpaceDE w:val="0"/>
        <w:autoSpaceDN w:val="0"/>
        <w:adjustRightInd w:val="0"/>
        <w:spacing w:after="0"/>
        <w:jc w:val="both"/>
        <w:rPr>
          <w:rFonts w:ascii="Times New Roman" w:hAnsi="Times New Roman"/>
          <w:noProof/>
          <w:sz w:val="20"/>
          <w:szCs w:val="20"/>
        </w:rPr>
      </w:pPr>
    </w:p>
    <w:p w14:paraId="2DF01D14" w14:textId="6F985823" w:rsidR="00AD16D0" w:rsidRPr="008F5F0F" w:rsidRDefault="00AD16D0" w:rsidP="008F5F0F">
      <w:pPr>
        <w:widowControl w:val="0"/>
        <w:autoSpaceDE w:val="0"/>
        <w:autoSpaceDN w:val="0"/>
        <w:adjustRightInd w:val="0"/>
        <w:spacing w:after="0"/>
        <w:jc w:val="both"/>
        <w:rPr>
          <w:rFonts w:ascii="Times New Roman" w:hAnsi="Times New Roman"/>
          <w:noProof/>
          <w:sz w:val="20"/>
          <w:szCs w:val="20"/>
        </w:rPr>
      </w:pPr>
    </w:p>
    <w:p w14:paraId="427A28AE" w14:textId="63777FB0" w:rsidR="00AD16D0" w:rsidRPr="008F5F0F" w:rsidRDefault="00AD16D0" w:rsidP="008F5F0F">
      <w:pPr>
        <w:widowControl w:val="0"/>
        <w:autoSpaceDE w:val="0"/>
        <w:autoSpaceDN w:val="0"/>
        <w:adjustRightInd w:val="0"/>
        <w:spacing w:after="0"/>
        <w:jc w:val="both"/>
        <w:rPr>
          <w:rFonts w:ascii="Times New Roman" w:hAnsi="Times New Roman"/>
          <w:noProof/>
          <w:sz w:val="20"/>
          <w:szCs w:val="20"/>
        </w:rPr>
      </w:pPr>
    </w:p>
    <w:p w14:paraId="7A6A7307" w14:textId="77777777" w:rsidR="00AD16D0" w:rsidRPr="008F5F0F" w:rsidRDefault="00AD16D0" w:rsidP="008F5F0F">
      <w:pPr>
        <w:widowControl w:val="0"/>
        <w:autoSpaceDE w:val="0"/>
        <w:autoSpaceDN w:val="0"/>
        <w:adjustRightInd w:val="0"/>
        <w:spacing w:after="0"/>
        <w:jc w:val="both"/>
        <w:rPr>
          <w:rFonts w:ascii="Times New Roman" w:hAnsi="Times New Roman"/>
          <w:noProof/>
          <w:sz w:val="20"/>
          <w:szCs w:val="20"/>
        </w:rPr>
      </w:pPr>
    </w:p>
    <w:p w14:paraId="1F364246"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lastRenderedPageBreak/>
        <w:t xml:space="preserve">Heo, J., Flora, J. R. V., Her, N., Park, Y. G., Cho, J., Son, A. and Yoon, Y. (2012). Removal of bisphenol A and 17β-estradiol in single walled carbon nanotubes-ultrafiltration (SWNTs-UF) membrane systems. </w:t>
      </w:r>
      <w:r w:rsidRPr="008F5F0F">
        <w:rPr>
          <w:rFonts w:ascii="Times New Roman" w:hAnsi="Times New Roman"/>
          <w:i/>
          <w:iCs/>
          <w:noProof/>
          <w:sz w:val="20"/>
          <w:szCs w:val="20"/>
        </w:rPr>
        <w:t>Separation and Purification Technology</w:t>
      </w:r>
      <w:r w:rsidRPr="008F5F0F">
        <w:rPr>
          <w:rFonts w:ascii="Times New Roman" w:hAnsi="Times New Roman"/>
          <w:noProof/>
          <w:sz w:val="20"/>
          <w:szCs w:val="20"/>
        </w:rPr>
        <w:t>, 90: 39-52.</w:t>
      </w:r>
    </w:p>
    <w:p w14:paraId="7F993F6F"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Bing-zhi, D., Hua-qiang, C., Lin, W., Sheng-ji, X. and Nai-yun, G. (2010). The removal of bisphenol A by hollow fiber microfiltration membrane. </w:t>
      </w:r>
      <w:r w:rsidRPr="008F5F0F">
        <w:rPr>
          <w:rFonts w:ascii="Times New Roman" w:hAnsi="Times New Roman"/>
          <w:i/>
          <w:iCs/>
          <w:noProof/>
          <w:sz w:val="20"/>
          <w:szCs w:val="20"/>
        </w:rPr>
        <w:t>Desalination</w:t>
      </w:r>
      <w:r w:rsidRPr="008F5F0F">
        <w:rPr>
          <w:rFonts w:ascii="Times New Roman" w:hAnsi="Times New Roman"/>
          <w:noProof/>
          <w:sz w:val="20"/>
          <w:szCs w:val="20"/>
        </w:rPr>
        <w:t>, 250(2): 693-697.</w:t>
      </w:r>
    </w:p>
    <w:p w14:paraId="35237485"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Yüksel, S., Kabay, N. and Yüksel, M. (2013). Removal of bisphenol A (BPA) from water by various nanofiltration (NF) and reverse osmosis (RO) membranes. </w:t>
      </w:r>
      <w:r w:rsidRPr="008F5F0F">
        <w:rPr>
          <w:rFonts w:ascii="Times New Roman" w:hAnsi="Times New Roman"/>
          <w:i/>
          <w:iCs/>
          <w:noProof/>
          <w:sz w:val="20"/>
          <w:szCs w:val="20"/>
        </w:rPr>
        <w:t>Journal of Hazardous Materials</w:t>
      </w:r>
      <w:r w:rsidRPr="008F5F0F">
        <w:rPr>
          <w:rFonts w:ascii="Times New Roman" w:hAnsi="Times New Roman"/>
          <w:noProof/>
          <w:sz w:val="20"/>
          <w:szCs w:val="20"/>
        </w:rPr>
        <w:t xml:space="preserve">, 263: 307-310. </w:t>
      </w:r>
    </w:p>
    <w:p w14:paraId="2C39DB13"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Lutchmiah, K., Verliefde, A. R. D., Roest, K., Rietveld, L. C. and Cornelissen, E. R. (2014). Forward osmosis for application in wastewater treatment: A review. </w:t>
      </w:r>
      <w:r w:rsidRPr="008F5F0F">
        <w:rPr>
          <w:rFonts w:ascii="Times New Roman" w:hAnsi="Times New Roman"/>
          <w:i/>
          <w:iCs/>
          <w:noProof/>
          <w:sz w:val="20"/>
          <w:szCs w:val="20"/>
        </w:rPr>
        <w:t>Water Research</w:t>
      </w:r>
      <w:r w:rsidRPr="008F5F0F">
        <w:rPr>
          <w:rFonts w:ascii="Times New Roman" w:hAnsi="Times New Roman"/>
          <w:noProof/>
          <w:sz w:val="20"/>
          <w:szCs w:val="20"/>
        </w:rPr>
        <w:t xml:space="preserve">, 58: 179-197. </w:t>
      </w:r>
    </w:p>
    <w:p w14:paraId="429629B1"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Cartinella, J. L., Cath, T. Y., Flynn, M. T., Miller, G. C., Hunter, K. W. and Childress, A. E. (2006). Removal of natural steroid hormones from wastewater using membrane contactor processes. </w:t>
      </w:r>
      <w:r w:rsidRPr="008F5F0F">
        <w:rPr>
          <w:rFonts w:ascii="Times New Roman" w:hAnsi="Times New Roman"/>
          <w:i/>
          <w:iCs/>
          <w:noProof/>
          <w:sz w:val="20"/>
          <w:szCs w:val="20"/>
        </w:rPr>
        <w:t>Environmental Science and Technology</w:t>
      </w:r>
      <w:r w:rsidRPr="008F5F0F">
        <w:rPr>
          <w:rFonts w:ascii="Times New Roman" w:hAnsi="Times New Roman"/>
          <w:noProof/>
          <w:sz w:val="20"/>
          <w:szCs w:val="20"/>
        </w:rPr>
        <w:t xml:space="preserve">, 40(23): 7381-7386. </w:t>
      </w:r>
    </w:p>
    <w:p w14:paraId="15CA3136"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Lee, S., Boo, C., Elimelech, M. and Hong, S. (2010). Comparison of fouling behavior in forward osmosis (FO) and reverse osmosis (RO). </w:t>
      </w:r>
      <w:r w:rsidRPr="008F5F0F">
        <w:rPr>
          <w:rFonts w:ascii="Times New Roman" w:hAnsi="Times New Roman"/>
          <w:i/>
          <w:iCs/>
          <w:noProof/>
          <w:sz w:val="20"/>
          <w:szCs w:val="20"/>
        </w:rPr>
        <w:t>Journal of Membrane Science</w:t>
      </w:r>
      <w:r w:rsidRPr="008F5F0F">
        <w:rPr>
          <w:rFonts w:ascii="Times New Roman" w:hAnsi="Times New Roman"/>
          <w:noProof/>
          <w:sz w:val="20"/>
          <w:szCs w:val="20"/>
        </w:rPr>
        <w:t>, 365(1-2): 34-39.</w:t>
      </w:r>
    </w:p>
    <w:p w14:paraId="08CEAA28"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Mi, B. and Elimelech, M. (2010). Organic fouling of forward osmosis membranes: Fouling reversibility and cleaning without chemical reagents. </w:t>
      </w:r>
      <w:r w:rsidRPr="008F5F0F">
        <w:rPr>
          <w:rFonts w:ascii="Times New Roman" w:hAnsi="Times New Roman"/>
          <w:i/>
          <w:iCs/>
          <w:noProof/>
          <w:sz w:val="20"/>
          <w:szCs w:val="20"/>
        </w:rPr>
        <w:t>Journal of Membrane Science</w:t>
      </w:r>
      <w:r w:rsidRPr="008F5F0F">
        <w:rPr>
          <w:rFonts w:ascii="Times New Roman" w:hAnsi="Times New Roman"/>
          <w:noProof/>
          <w:sz w:val="20"/>
          <w:szCs w:val="20"/>
        </w:rPr>
        <w:t>, 348(1-2): 337-345.</w:t>
      </w:r>
    </w:p>
    <w:p w14:paraId="7B626338"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Style w:val="Hyperlink"/>
          <w:rFonts w:ascii="Times New Roman" w:hAnsi="Times New Roman"/>
          <w:noProof/>
          <w:sz w:val="20"/>
          <w:szCs w:val="20"/>
        </w:rPr>
      </w:pPr>
      <w:r w:rsidRPr="008F5F0F">
        <w:rPr>
          <w:rFonts w:ascii="Times New Roman" w:hAnsi="Times New Roman"/>
          <w:noProof/>
          <w:sz w:val="20"/>
          <w:szCs w:val="20"/>
        </w:rPr>
        <w:t xml:space="preserve">Adamczak, M., Kamińska, G. and Bohdziewicz, J. (2019). Preparation of polymer membranes by in situ interfacial polymerization. </w:t>
      </w:r>
      <w:r w:rsidRPr="008F5F0F">
        <w:rPr>
          <w:rFonts w:ascii="Times New Roman" w:hAnsi="Times New Roman"/>
          <w:i/>
          <w:iCs/>
          <w:noProof/>
          <w:sz w:val="20"/>
          <w:szCs w:val="20"/>
        </w:rPr>
        <w:t>International Journal of Polymer Science</w:t>
      </w:r>
      <w:r w:rsidRPr="008F5F0F">
        <w:rPr>
          <w:rFonts w:ascii="Times New Roman" w:hAnsi="Times New Roman"/>
          <w:noProof/>
          <w:sz w:val="20"/>
          <w:szCs w:val="20"/>
        </w:rPr>
        <w:t xml:space="preserve">, 2019: 6217924. </w:t>
      </w:r>
    </w:p>
    <w:p w14:paraId="08855F5F"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Khorshidi, B., Thundat, T., Fleck, B. A. and Sadrzadeh, M. (2016). A novel approach toward fabrication of high performance thin film composite polyamide membranes. </w:t>
      </w:r>
      <w:r w:rsidRPr="008F5F0F">
        <w:rPr>
          <w:rFonts w:ascii="Times New Roman" w:hAnsi="Times New Roman"/>
          <w:i/>
          <w:iCs/>
          <w:noProof/>
          <w:sz w:val="20"/>
          <w:szCs w:val="20"/>
        </w:rPr>
        <w:t>Scientific Reports</w:t>
      </w:r>
      <w:r w:rsidRPr="008F5F0F">
        <w:rPr>
          <w:rFonts w:ascii="Times New Roman" w:hAnsi="Times New Roman"/>
          <w:noProof/>
          <w:sz w:val="20"/>
          <w:szCs w:val="20"/>
        </w:rPr>
        <w:t>, 6(1): 1-10.</w:t>
      </w:r>
    </w:p>
    <w:p w14:paraId="7FA87515"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Al-Hobaib, A. S., El Ghoul, J., Ghiloufi, I. and El Mir, L. (2016). </w:t>
      </w:r>
      <w:r w:rsidRPr="008F5F0F">
        <w:rPr>
          <w:rFonts w:ascii="Times New Roman" w:hAnsi="Times New Roman"/>
          <w:noProof/>
          <w:sz w:val="20"/>
          <w:szCs w:val="20"/>
        </w:rPr>
        <w:t xml:space="preserve">Synthesis and characterization of polyamide thin-film nanocomposite membrane </w:t>
      </w:r>
      <w:r w:rsidRPr="008F5F0F">
        <w:rPr>
          <w:rFonts w:ascii="Times New Roman" w:hAnsi="Times New Roman"/>
          <w:noProof/>
          <w:sz w:val="20"/>
          <w:szCs w:val="20"/>
        </w:rPr>
        <w:t xml:space="preserve">reached by aluminum doped ZnO nanoparticles. </w:t>
      </w:r>
      <w:r w:rsidRPr="008F5F0F">
        <w:rPr>
          <w:rFonts w:ascii="Times New Roman" w:hAnsi="Times New Roman"/>
          <w:i/>
          <w:iCs/>
          <w:noProof/>
          <w:sz w:val="20"/>
          <w:szCs w:val="20"/>
        </w:rPr>
        <w:t>Materials Science in Semiconductor Processing</w:t>
      </w:r>
      <w:r w:rsidRPr="008F5F0F">
        <w:rPr>
          <w:rFonts w:ascii="Times New Roman" w:hAnsi="Times New Roman"/>
          <w:noProof/>
          <w:sz w:val="20"/>
          <w:szCs w:val="20"/>
        </w:rPr>
        <w:t>, 42: 111-114.</w:t>
      </w:r>
    </w:p>
    <w:p w14:paraId="7CA0A1F5"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Mehwish, N., Kausar, A. and Siddiq, M. (2014). Advances in polymer-based nanostructured membranes for water treatment. </w:t>
      </w:r>
      <w:r w:rsidRPr="008F5F0F">
        <w:rPr>
          <w:rFonts w:ascii="Times New Roman" w:hAnsi="Times New Roman"/>
          <w:i/>
          <w:iCs/>
          <w:noProof/>
          <w:sz w:val="20"/>
          <w:szCs w:val="20"/>
        </w:rPr>
        <w:t>Polymer - Plastics Technology and Engineering</w:t>
      </w:r>
      <w:r w:rsidRPr="008F5F0F">
        <w:rPr>
          <w:rFonts w:ascii="Times New Roman" w:hAnsi="Times New Roman"/>
          <w:noProof/>
          <w:sz w:val="20"/>
          <w:szCs w:val="20"/>
        </w:rPr>
        <w:t xml:space="preserve">, 53(12): 1290-1316. </w:t>
      </w:r>
    </w:p>
    <w:p w14:paraId="3972339C"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sz w:val="20"/>
          <w:szCs w:val="20"/>
        </w:rPr>
        <w:fldChar w:fldCharType="begin" w:fldLock="1"/>
      </w:r>
      <w:r w:rsidRPr="008F5F0F">
        <w:rPr>
          <w:rFonts w:ascii="Times New Roman" w:hAnsi="Times New Roman"/>
          <w:sz w:val="20"/>
          <w:szCs w:val="20"/>
          <w:lang w:val="de-DE"/>
        </w:rPr>
        <w:instrText xml:space="preserve">ADDIN Mendeley Bibliography CSL_BIBLIOGRAPHY </w:instrText>
      </w:r>
      <w:r w:rsidRPr="008F5F0F">
        <w:rPr>
          <w:rFonts w:ascii="Times New Roman" w:hAnsi="Times New Roman"/>
          <w:sz w:val="20"/>
          <w:szCs w:val="20"/>
        </w:rPr>
        <w:fldChar w:fldCharType="separate"/>
      </w:r>
      <w:r w:rsidRPr="008F5F0F">
        <w:rPr>
          <w:rFonts w:ascii="Times New Roman" w:hAnsi="Times New Roman"/>
          <w:noProof/>
          <w:sz w:val="20"/>
          <w:szCs w:val="20"/>
          <w:lang w:val="de-DE"/>
        </w:rPr>
        <w:t xml:space="preserve">Wei, J., Qiu, C., Tang, C. Y., Wang, R. and Fane, A. G. (2011). </w:t>
      </w:r>
      <w:r w:rsidRPr="008F5F0F">
        <w:rPr>
          <w:rFonts w:ascii="Times New Roman" w:hAnsi="Times New Roman"/>
          <w:noProof/>
          <w:sz w:val="20"/>
          <w:szCs w:val="20"/>
        </w:rPr>
        <w:t xml:space="preserve">Synthesis and characterization of flat-sheet thin film composite forward osmosis membranes. </w:t>
      </w:r>
      <w:r w:rsidRPr="008F5F0F">
        <w:rPr>
          <w:rFonts w:ascii="Times New Roman" w:hAnsi="Times New Roman"/>
          <w:i/>
          <w:iCs/>
          <w:noProof/>
          <w:sz w:val="20"/>
          <w:szCs w:val="20"/>
        </w:rPr>
        <w:t>Journal of Membrane Science</w:t>
      </w:r>
      <w:r w:rsidRPr="008F5F0F">
        <w:rPr>
          <w:rFonts w:ascii="Times New Roman" w:hAnsi="Times New Roman"/>
          <w:noProof/>
          <w:sz w:val="20"/>
          <w:szCs w:val="20"/>
        </w:rPr>
        <w:t xml:space="preserve">, 372(1–2): 292–302. </w:t>
      </w:r>
    </w:p>
    <w:p w14:paraId="6D32A808"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Syahida Mat Anan, N., Jaafar, J., Sato, S. and Mohamud, R. (2021). Titanium dioxide incorporated polyamide thin film composite photocatalytic membrane for bisphenol a removal. </w:t>
      </w:r>
      <w:r w:rsidRPr="008F5F0F">
        <w:rPr>
          <w:rFonts w:ascii="Times New Roman" w:hAnsi="Times New Roman"/>
          <w:i/>
          <w:iCs/>
          <w:noProof/>
          <w:sz w:val="20"/>
          <w:szCs w:val="20"/>
        </w:rPr>
        <w:t>IOP Conference Series: Materials Science and Engineering</w:t>
      </w:r>
      <w:r w:rsidRPr="008F5F0F">
        <w:rPr>
          <w:rFonts w:ascii="Times New Roman" w:hAnsi="Times New Roman"/>
          <w:noProof/>
          <w:sz w:val="20"/>
          <w:szCs w:val="20"/>
        </w:rPr>
        <w:t xml:space="preserve">, 1142(1): 012015. </w:t>
      </w:r>
    </w:p>
    <w:p w14:paraId="4B653C3B"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Miao, L., Jiang, T., Lin, S., Jin, T., Hu, J., Zhang, M. and Liu, G. (2020). Asymmetric forward osmosis membranes from p-aramid nanofibers. </w:t>
      </w:r>
      <w:r w:rsidRPr="008F5F0F">
        <w:rPr>
          <w:rFonts w:ascii="Times New Roman" w:hAnsi="Times New Roman"/>
          <w:i/>
          <w:iCs/>
          <w:noProof/>
          <w:sz w:val="20"/>
          <w:szCs w:val="20"/>
        </w:rPr>
        <w:t xml:space="preserve">Materials &amp; Design, </w:t>
      </w:r>
      <w:r w:rsidRPr="008F5F0F">
        <w:rPr>
          <w:rFonts w:ascii="Times New Roman" w:hAnsi="Times New Roman"/>
          <w:noProof/>
          <w:sz w:val="20"/>
          <w:szCs w:val="20"/>
        </w:rPr>
        <w:t>191: 108591.</w:t>
      </w:r>
    </w:p>
    <w:p w14:paraId="05C4910F"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El-Arnaouty, M. B., Abdel Ghaffar, A. M., Eid, M., Aboulfotouh, M. E., Taher, N. H. and Soliman, E.-S. (2018). Nano-modification of polyamide thin film composite reverse osmosis membranes by radiation grafting. </w:t>
      </w:r>
      <w:r w:rsidRPr="008F5F0F">
        <w:rPr>
          <w:rFonts w:ascii="Times New Roman" w:hAnsi="Times New Roman"/>
          <w:i/>
          <w:iCs/>
          <w:noProof/>
          <w:sz w:val="20"/>
          <w:szCs w:val="20"/>
        </w:rPr>
        <w:t>Journal of Radiation Research and Applied Sciences</w:t>
      </w:r>
      <w:r w:rsidRPr="008F5F0F">
        <w:rPr>
          <w:rFonts w:ascii="Times New Roman" w:hAnsi="Times New Roman"/>
          <w:noProof/>
          <w:sz w:val="20"/>
          <w:szCs w:val="20"/>
        </w:rPr>
        <w:t>, 11(3): 204-216.</w:t>
      </w:r>
    </w:p>
    <w:p w14:paraId="60FD95F5"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Park, H. M., Takaba, H., &amp; Lee, Y. T. (2020). Preparation and characterization of TFC NF membrane with improved acid resistance behavior. </w:t>
      </w:r>
      <w:r w:rsidRPr="008F5F0F">
        <w:rPr>
          <w:rFonts w:ascii="Times New Roman" w:hAnsi="Times New Roman"/>
          <w:i/>
          <w:iCs/>
          <w:noProof/>
          <w:sz w:val="20"/>
          <w:szCs w:val="20"/>
        </w:rPr>
        <w:t>Journal of Membrane Science</w:t>
      </w:r>
      <w:r w:rsidRPr="008F5F0F">
        <w:rPr>
          <w:rFonts w:ascii="Times New Roman" w:hAnsi="Times New Roman"/>
          <w:noProof/>
          <w:sz w:val="20"/>
          <w:szCs w:val="20"/>
        </w:rPr>
        <w:t>, 616: 118620.</w:t>
      </w:r>
    </w:p>
    <w:p w14:paraId="7B6EC9F7"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Song, X., Qi, S., Tang, C. Y. and Gao, C. (2017). Ultra-thin, multi-layered polyamide membranes: Synthesis and characterization. </w:t>
      </w:r>
      <w:r w:rsidRPr="008F5F0F">
        <w:rPr>
          <w:rFonts w:ascii="Times New Roman" w:hAnsi="Times New Roman"/>
          <w:i/>
          <w:iCs/>
          <w:noProof/>
          <w:sz w:val="20"/>
          <w:szCs w:val="20"/>
        </w:rPr>
        <w:t>Journal of Membrane Science</w:t>
      </w:r>
      <w:r w:rsidRPr="008F5F0F">
        <w:rPr>
          <w:rFonts w:ascii="Times New Roman" w:hAnsi="Times New Roman"/>
          <w:noProof/>
          <w:sz w:val="20"/>
          <w:szCs w:val="20"/>
        </w:rPr>
        <w:t xml:space="preserve">, 540: 10-18. </w:t>
      </w:r>
    </w:p>
    <w:p w14:paraId="6447137F"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lang w:val="de-DE"/>
        </w:rPr>
        <w:t xml:space="preserve">Morgan, P. W. and Kwolek, S. L. (1996). </w:t>
      </w:r>
      <w:r w:rsidRPr="008F5F0F">
        <w:rPr>
          <w:rFonts w:ascii="Times New Roman" w:hAnsi="Times New Roman"/>
          <w:noProof/>
          <w:sz w:val="20"/>
          <w:szCs w:val="20"/>
        </w:rPr>
        <w:t xml:space="preserve">Interfacial polycondensation. II. Fundamentals of polymer formation at liquid interfaces. </w:t>
      </w:r>
      <w:r w:rsidRPr="008F5F0F">
        <w:rPr>
          <w:rFonts w:ascii="Times New Roman" w:hAnsi="Times New Roman"/>
          <w:i/>
          <w:iCs/>
          <w:noProof/>
          <w:sz w:val="20"/>
          <w:szCs w:val="20"/>
        </w:rPr>
        <w:t>Journal of Polymer Science Part A: Polymer Chemistry</w:t>
      </w:r>
      <w:r w:rsidRPr="008F5F0F">
        <w:rPr>
          <w:rFonts w:ascii="Times New Roman" w:hAnsi="Times New Roman"/>
          <w:noProof/>
          <w:sz w:val="20"/>
          <w:szCs w:val="20"/>
        </w:rPr>
        <w:t>, 40(137): 299-327.</w:t>
      </w:r>
    </w:p>
    <w:p w14:paraId="3B5FE3D8" w14:textId="77777777" w:rsidR="00ED47BD"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sectPr w:rsidR="00ED47BD" w:rsidRPr="008F5F0F" w:rsidSect="00631AFB">
          <w:footerReference w:type="even" r:id="rId34"/>
          <w:footerReference w:type="default" r:id="rId35"/>
          <w:type w:val="continuous"/>
          <w:pgSz w:w="12240" w:h="15840" w:code="1"/>
          <w:pgMar w:top="1800" w:right="1469" w:bottom="1699" w:left="1440" w:header="706" w:footer="706" w:gutter="0"/>
          <w:pgNumType w:start="1"/>
          <w:cols w:num="2" w:space="403"/>
          <w:docGrid w:linePitch="360"/>
        </w:sectPr>
      </w:pPr>
      <w:r w:rsidRPr="008F5F0F">
        <w:rPr>
          <w:rFonts w:ascii="Times New Roman" w:hAnsi="Times New Roman"/>
          <w:noProof/>
          <w:sz w:val="20"/>
          <w:szCs w:val="20"/>
        </w:rPr>
        <w:t>Rajaeian, B., Rahimpour, A., Tade, M. O. and Liu, S. (2013). Fabrication and characterization of polyamide thin film nanocomposite (TFN) nanofiltration membrane impregnated with TiO</w:t>
      </w:r>
      <w:r w:rsidRPr="008F5F0F">
        <w:rPr>
          <w:rFonts w:ascii="Times New Roman" w:hAnsi="Times New Roman"/>
          <w:noProof/>
          <w:sz w:val="20"/>
          <w:szCs w:val="20"/>
          <w:vertAlign w:val="subscript"/>
        </w:rPr>
        <w:t>2</w:t>
      </w:r>
      <w:r w:rsidRPr="008F5F0F">
        <w:rPr>
          <w:rFonts w:ascii="Times New Roman" w:hAnsi="Times New Roman"/>
          <w:noProof/>
          <w:sz w:val="20"/>
          <w:szCs w:val="20"/>
        </w:rPr>
        <w:t xml:space="preserve"> nanoparticles. </w:t>
      </w:r>
      <w:r w:rsidRPr="008F5F0F">
        <w:rPr>
          <w:rFonts w:ascii="Times New Roman" w:hAnsi="Times New Roman"/>
          <w:i/>
          <w:iCs/>
          <w:noProof/>
          <w:sz w:val="20"/>
          <w:szCs w:val="20"/>
        </w:rPr>
        <w:t>Desalination</w:t>
      </w:r>
      <w:r w:rsidRPr="008F5F0F">
        <w:rPr>
          <w:rFonts w:ascii="Times New Roman" w:hAnsi="Times New Roman"/>
          <w:noProof/>
          <w:sz w:val="20"/>
          <w:szCs w:val="20"/>
        </w:rPr>
        <w:t xml:space="preserve">, 313: 176-188. </w:t>
      </w:r>
    </w:p>
    <w:p w14:paraId="154C561D"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lastRenderedPageBreak/>
        <w:t>McGinnis, R. L., Hancock, N. T., Nowosielski-Slepowron, M. S. and McGurgan, G. D. (2013). Pilot demonstration of the NH</w:t>
      </w:r>
      <w:r w:rsidRPr="008F5F0F">
        <w:rPr>
          <w:rFonts w:ascii="Times New Roman" w:hAnsi="Times New Roman"/>
          <w:noProof/>
          <w:sz w:val="20"/>
          <w:szCs w:val="20"/>
          <w:vertAlign w:val="subscript"/>
        </w:rPr>
        <w:t>3</w:t>
      </w:r>
      <w:r w:rsidRPr="008F5F0F">
        <w:rPr>
          <w:rFonts w:ascii="Times New Roman" w:hAnsi="Times New Roman"/>
          <w:noProof/>
          <w:sz w:val="20"/>
          <w:szCs w:val="20"/>
        </w:rPr>
        <w:t>/CO</w:t>
      </w:r>
      <w:r w:rsidRPr="008F5F0F">
        <w:rPr>
          <w:rFonts w:ascii="Times New Roman" w:hAnsi="Times New Roman"/>
          <w:noProof/>
          <w:sz w:val="20"/>
          <w:szCs w:val="20"/>
          <w:vertAlign w:val="subscript"/>
        </w:rPr>
        <w:t>2</w:t>
      </w:r>
      <w:r w:rsidRPr="008F5F0F">
        <w:rPr>
          <w:rFonts w:ascii="Times New Roman" w:hAnsi="Times New Roman"/>
          <w:noProof/>
          <w:sz w:val="20"/>
          <w:szCs w:val="20"/>
        </w:rPr>
        <w:t xml:space="preserve"> forward osmosis desalination process on high salinity brines. </w:t>
      </w:r>
      <w:r w:rsidRPr="008F5F0F">
        <w:rPr>
          <w:rFonts w:ascii="Times New Roman" w:hAnsi="Times New Roman"/>
          <w:i/>
          <w:iCs/>
          <w:noProof/>
          <w:sz w:val="20"/>
          <w:szCs w:val="20"/>
        </w:rPr>
        <w:t>Desalination</w:t>
      </w:r>
      <w:r w:rsidRPr="008F5F0F">
        <w:rPr>
          <w:rFonts w:ascii="Times New Roman" w:hAnsi="Times New Roman"/>
          <w:noProof/>
          <w:sz w:val="20"/>
          <w:szCs w:val="20"/>
        </w:rPr>
        <w:t>, 312: 67-74.</w:t>
      </w:r>
    </w:p>
    <w:p w14:paraId="2C904CDC"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Zhu, H. and Li, W. (2013). Bisphenol A removal from synthetic municipal wastewater by a bioreactor coupled with either a forward osmotic membrane or a microfiltration membrane unit. </w:t>
      </w:r>
      <w:r w:rsidRPr="008F5F0F">
        <w:rPr>
          <w:rFonts w:ascii="Times New Roman" w:hAnsi="Times New Roman"/>
          <w:i/>
          <w:iCs/>
          <w:noProof/>
          <w:sz w:val="20"/>
          <w:szCs w:val="20"/>
        </w:rPr>
        <w:t>Frontiers of Environmental Science and Engineering</w:t>
      </w:r>
      <w:r w:rsidRPr="008F5F0F">
        <w:rPr>
          <w:rFonts w:ascii="Times New Roman" w:hAnsi="Times New Roman"/>
          <w:noProof/>
          <w:sz w:val="20"/>
          <w:szCs w:val="20"/>
        </w:rPr>
        <w:t xml:space="preserve">, 7(2): 294-300. </w:t>
      </w:r>
    </w:p>
    <w:p w14:paraId="36E161D9"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Hancock, N. T., Xu, P., Heil, D. M., Bellona, C. and Cath, T. Y. (2011). Comprehensive bench- and pilot-scale investigation of trace organic compounds rejection by forward osmosis. </w:t>
      </w:r>
      <w:r w:rsidRPr="008F5F0F">
        <w:rPr>
          <w:rFonts w:ascii="Times New Roman" w:hAnsi="Times New Roman"/>
          <w:i/>
          <w:iCs/>
          <w:noProof/>
          <w:sz w:val="20"/>
          <w:szCs w:val="20"/>
        </w:rPr>
        <w:t>Environmental Science and Technology</w:t>
      </w:r>
      <w:r w:rsidRPr="008F5F0F">
        <w:rPr>
          <w:rFonts w:ascii="Times New Roman" w:hAnsi="Times New Roman"/>
          <w:noProof/>
          <w:sz w:val="20"/>
          <w:szCs w:val="20"/>
        </w:rPr>
        <w:t xml:space="preserve">, 45(19): 8483-8490. </w:t>
      </w:r>
    </w:p>
    <w:p w14:paraId="7F739812" w14:textId="77777777" w:rsidR="00F35739" w:rsidRPr="008F5F0F" w:rsidRDefault="00F35739" w:rsidP="008F5F0F">
      <w:pPr>
        <w:pStyle w:val="ListParagraph"/>
        <w:widowControl w:val="0"/>
        <w:numPr>
          <w:ilvl w:val="0"/>
          <w:numId w:val="3"/>
        </w:numPr>
        <w:autoSpaceDE w:val="0"/>
        <w:autoSpaceDN w:val="0"/>
        <w:adjustRightInd w:val="0"/>
        <w:spacing w:after="0"/>
        <w:ind w:left="360"/>
        <w:contextualSpacing w:val="0"/>
        <w:jc w:val="both"/>
        <w:rPr>
          <w:rFonts w:ascii="Times New Roman" w:hAnsi="Times New Roman"/>
          <w:noProof/>
          <w:sz w:val="20"/>
          <w:szCs w:val="20"/>
        </w:rPr>
      </w:pPr>
      <w:r w:rsidRPr="008F5F0F">
        <w:rPr>
          <w:rFonts w:ascii="Times New Roman" w:hAnsi="Times New Roman"/>
          <w:noProof/>
          <w:sz w:val="20"/>
          <w:szCs w:val="20"/>
        </w:rPr>
        <w:t xml:space="preserve">Valladares Linares, R., Yangali-Quintanilla, V., Li, Z. and Amy, G. (2011). Rejection of micropollutants by clean and fouled forward osmosis membrane. </w:t>
      </w:r>
      <w:r w:rsidRPr="008F5F0F">
        <w:rPr>
          <w:rFonts w:ascii="Times New Roman" w:hAnsi="Times New Roman"/>
          <w:i/>
          <w:iCs/>
          <w:noProof/>
          <w:sz w:val="20"/>
          <w:szCs w:val="20"/>
        </w:rPr>
        <w:t>Water Research</w:t>
      </w:r>
      <w:r w:rsidRPr="008F5F0F">
        <w:rPr>
          <w:rFonts w:ascii="Times New Roman" w:hAnsi="Times New Roman"/>
          <w:noProof/>
          <w:sz w:val="20"/>
          <w:szCs w:val="20"/>
        </w:rPr>
        <w:t xml:space="preserve">, 45(20): 6737-6744. </w:t>
      </w:r>
    </w:p>
    <w:p w14:paraId="15FA3A3E" w14:textId="109DED5E" w:rsidR="00F35739" w:rsidRPr="00F35739" w:rsidRDefault="00F35739" w:rsidP="008F5F0F">
      <w:pPr>
        <w:widowControl w:val="0"/>
        <w:autoSpaceDE w:val="0"/>
        <w:autoSpaceDN w:val="0"/>
        <w:adjustRightInd w:val="0"/>
        <w:spacing w:after="0"/>
        <w:jc w:val="both"/>
        <w:rPr>
          <w:rFonts w:ascii="Times New Roman" w:hAnsi="Times New Roman"/>
          <w:noProof/>
          <w:sz w:val="20"/>
          <w:szCs w:val="18"/>
        </w:rPr>
        <w:sectPr w:rsidR="00F35739" w:rsidRPr="00F35739" w:rsidSect="00ED47BD">
          <w:footerReference w:type="default" r:id="rId36"/>
          <w:type w:val="oddPage"/>
          <w:pgSz w:w="12240" w:h="15840" w:code="1"/>
          <w:pgMar w:top="1800" w:right="1469" w:bottom="1699" w:left="1440" w:header="706" w:footer="706" w:gutter="0"/>
          <w:pgNumType w:start="1"/>
          <w:cols w:num="2" w:space="403"/>
          <w:docGrid w:linePitch="360"/>
        </w:sectPr>
      </w:pPr>
      <w:r w:rsidRPr="008F5F0F">
        <w:rPr>
          <w:rFonts w:ascii="Times New Roman" w:hAnsi="Times New Roman"/>
          <w:sz w:val="20"/>
          <w:szCs w:val="20"/>
        </w:rPr>
        <w:fldChar w:fldCharType="end"/>
      </w:r>
      <w:bookmarkEnd w:id="4"/>
    </w:p>
    <w:p w14:paraId="3B990775" w14:textId="2AB16D67" w:rsidR="00F35739" w:rsidRPr="00831CAB" w:rsidRDefault="00F35739" w:rsidP="00F35739">
      <w:pPr>
        <w:widowControl w:val="0"/>
        <w:autoSpaceDE w:val="0"/>
        <w:autoSpaceDN w:val="0"/>
        <w:adjustRightInd w:val="0"/>
        <w:spacing w:after="0"/>
        <w:jc w:val="both"/>
        <w:rPr>
          <w:rFonts w:ascii="Times New Roman" w:hAnsi="Times New Roman"/>
          <w:noProof/>
          <w:sz w:val="20"/>
          <w:szCs w:val="18"/>
        </w:rPr>
      </w:pPr>
      <w:r w:rsidRPr="00831CAB">
        <w:rPr>
          <w:rFonts w:ascii="Times New Roman" w:hAnsi="Times New Roman"/>
          <w:noProof/>
          <w:sz w:val="20"/>
          <w:szCs w:val="18"/>
        </w:rPr>
        <w:t xml:space="preserve"> </w:t>
      </w:r>
    </w:p>
    <w:sectPr w:rsidR="00F35739" w:rsidRPr="00831CAB" w:rsidSect="00FC44A7">
      <w:type w:val="continuous"/>
      <w:pgSz w:w="12240" w:h="15840" w:code="1"/>
      <w:pgMar w:top="1800" w:right="1469" w:bottom="1699" w:left="1440" w:header="706" w:footer="706"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A3A5A" w14:textId="77777777" w:rsidR="00A775F3" w:rsidRDefault="00A775F3" w:rsidP="00FB4C59">
      <w:pPr>
        <w:spacing w:after="0" w:line="240" w:lineRule="auto"/>
      </w:pPr>
      <w:r>
        <w:separator/>
      </w:r>
    </w:p>
  </w:endnote>
  <w:endnote w:type="continuationSeparator" w:id="0">
    <w:p w14:paraId="6CE51A15" w14:textId="77777777" w:rsidR="00A775F3" w:rsidRDefault="00A775F3"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327A" w14:textId="72EEE38B" w:rsidR="008430FA" w:rsidRPr="008430FA" w:rsidRDefault="008430FA">
    <w:pPr>
      <w:pStyle w:val="Footer"/>
      <w:rPr>
        <w:lang w:val="en-MY"/>
      </w:rPr>
    </w:pPr>
    <w:r>
      <w:rPr>
        <w:lang w:val="en-MY"/>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2AE5494F" w:rsidR="00D75B35" w:rsidRPr="008430FA" w:rsidRDefault="000C4D60" w:rsidP="007D4BAB">
    <w:pPr>
      <w:pStyle w:val="Footer"/>
      <w:jc w:val="right"/>
      <w:rPr>
        <w:lang w:val="en-MY"/>
      </w:rPr>
    </w:pPr>
    <w:r>
      <w:rPr>
        <w:lang w:val="en-MY"/>
      </w:rPr>
      <w:t>507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C71E8" w14:textId="2ADFC2F2" w:rsidR="008430FA" w:rsidRPr="008430FA" w:rsidRDefault="000C4D60">
    <w:pPr>
      <w:pStyle w:val="Footer"/>
      <w:rPr>
        <w:lang w:val="en-MY"/>
      </w:rPr>
    </w:pPr>
    <w:r>
      <w:rPr>
        <w:lang w:val="en-MY"/>
      </w:rPr>
      <w:t>508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20A63" w14:textId="67C327B7" w:rsidR="008430FA" w:rsidRPr="008430FA" w:rsidRDefault="000C4D60" w:rsidP="007D4BAB">
    <w:pPr>
      <w:pStyle w:val="Footer"/>
      <w:jc w:val="right"/>
      <w:rPr>
        <w:lang w:val="en-MY"/>
      </w:rPr>
    </w:pPr>
    <w:r>
      <w:rPr>
        <w:lang w:val="en-MY"/>
      </w:rPr>
      <w:t>509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3B20" w14:textId="416D0A50" w:rsidR="009A053A" w:rsidRPr="008430FA" w:rsidRDefault="000C4D60">
    <w:pPr>
      <w:pStyle w:val="Footer"/>
      <w:rPr>
        <w:lang w:val="en-MY"/>
      </w:rPr>
    </w:pPr>
    <w:r>
      <w:rPr>
        <w:lang w:val="en-MY"/>
      </w:rPr>
      <w:t>510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6783C" w14:textId="0107CC23" w:rsidR="009A053A" w:rsidRPr="008430FA" w:rsidRDefault="000C4D60" w:rsidP="007D4BAB">
    <w:pPr>
      <w:pStyle w:val="Footer"/>
      <w:jc w:val="right"/>
      <w:rPr>
        <w:lang w:val="en-MY"/>
      </w:rPr>
    </w:pPr>
    <w:r>
      <w:rPr>
        <w:lang w:val="en-MY"/>
      </w:rPr>
      <w:t>511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19F0F" w14:textId="7AEEF25F" w:rsidR="005453A6" w:rsidRPr="008430FA" w:rsidRDefault="000C4D60">
    <w:pPr>
      <w:pStyle w:val="Footer"/>
      <w:rPr>
        <w:lang w:val="en-MY"/>
      </w:rPr>
    </w:pPr>
    <w:r>
      <w:rPr>
        <w:lang w:val="en-MY"/>
      </w:rPr>
      <w:t>512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9875" w14:textId="0BFEA9B0" w:rsidR="00FD07AF" w:rsidRPr="008430FA" w:rsidRDefault="000C4D60" w:rsidP="007D4BAB">
    <w:pPr>
      <w:pStyle w:val="Footer"/>
      <w:jc w:val="right"/>
      <w:rPr>
        <w:lang w:val="en-MY"/>
      </w:rPr>
    </w:pPr>
    <w:r>
      <w:rPr>
        <w:lang w:val="en-MY"/>
      </w:rPr>
      <w:t>513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2EAE" w14:textId="540AEE9C" w:rsidR="00E74D96" w:rsidRPr="008430FA" w:rsidRDefault="000C4D60">
    <w:pPr>
      <w:pStyle w:val="Footer"/>
      <w:rPr>
        <w:lang w:val="en-MY"/>
      </w:rPr>
    </w:pPr>
    <w:r>
      <w:rPr>
        <w:lang w:val="en-MY"/>
      </w:rPr>
      <w:t>514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3FB15" w14:textId="526706E3" w:rsidR="00E74D96" w:rsidRPr="008430FA" w:rsidRDefault="00E74D96" w:rsidP="007D4BAB">
    <w:pPr>
      <w:pStyle w:val="Footer"/>
      <w:jc w:val="right"/>
      <w:rPr>
        <w:lang w:val="en-MY"/>
      </w:rPr>
    </w:pPr>
    <w:r>
      <w:rPr>
        <w:lang w:val="en-MY"/>
      </w:rPr>
      <w:t>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2AFBA" w14:textId="0D6AD9A5" w:rsidR="00144F4D" w:rsidRPr="008430FA" w:rsidRDefault="000C4D60" w:rsidP="007D4BAB">
    <w:pPr>
      <w:pStyle w:val="Footer"/>
      <w:jc w:val="right"/>
      <w:rPr>
        <w:lang w:val="en-MY"/>
      </w:rPr>
    </w:pPr>
    <w:r>
      <w:rPr>
        <w:lang w:val="en-MY"/>
      </w:rPr>
      <w:t>515</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DF81" w14:textId="20C9A241" w:rsidR="00E74D96" w:rsidRPr="008430FA" w:rsidRDefault="00E74D96">
    <w:pPr>
      <w:pStyle w:val="Footer"/>
      <w:rPr>
        <w:lang w:val="en-MY"/>
      </w:rPr>
    </w:pPr>
    <w:r>
      <w:rPr>
        <w:lang w:val="en-MY"/>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187D6" w14:textId="2DE46582" w:rsidR="00ED47BD" w:rsidRPr="008430FA" w:rsidRDefault="000C4D60">
    <w:pPr>
      <w:pStyle w:val="Footer"/>
      <w:rPr>
        <w:lang w:val="en-MY"/>
      </w:rPr>
    </w:pPr>
    <w:r>
      <w:rPr>
        <w:lang w:val="en-MY"/>
      </w:rPr>
      <w:t>516</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651D0" w14:textId="2216B281" w:rsidR="00ED47BD" w:rsidRPr="008430FA" w:rsidRDefault="000C4D60">
    <w:pPr>
      <w:pStyle w:val="Footer"/>
      <w:rPr>
        <w:lang w:val="en-MY"/>
      </w:rPr>
    </w:pPr>
    <w:r>
      <w:rPr>
        <w:lang w:val="en-MY"/>
      </w:rPr>
      <w:t>518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16600" w14:textId="0F42FC2D" w:rsidR="00ED47BD" w:rsidRPr="008430FA" w:rsidRDefault="000C4D60" w:rsidP="007D4BAB">
    <w:pPr>
      <w:pStyle w:val="Footer"/>
      <w:jc w:val="right"/>
      <w:rPr>
        <w:lang w:val="en-MY"/>
      </w:rPr>
    </w:pPr>
    <w:r>
      <w:rPr>
        <w:lang w:val="en-MY"/>
      </w:rPr>
      <w:t>517</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2A1B7" w14:textId="2E80CCCE" w:rsidR="00AF2470" w:rsidRPr="008430FA" w:rsidRDefault="000C4D60" w:rsidP="007D4BAB">
    <w:pPr>
      <w:pStyle w:val="Footer"/>
      <w:jc w:val="right"/>
      <w:rPr>
        <w:lang w:val="en-MY"/>
      </w:rPr>
    </w:pPr>
    <w:r>
      <w:rPr>
        <w:lang w:val="en-MY"/>
      </w:rPr>
      <w:t>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FB36C" w14:textId="77777777" w:rsidR="00A775F3" w:rsidRDefault="00A775F3" w:rsidP="00FB4C59">
      <w:pPr>
        <w:spacing w:after="0" w:line="240" w:lineRule="auto"/>
      </w:pPr>
      <w:r>
        <w:separator/>
      </w:r>
    </w:p>
  </w:footnote>
  <w:footnote w:type="continuationSeparator" w:id="0">
    <w:p w14:paraId="202214F5" w14:textId="77777777" w:rsidR="00A775F3" w:rsidRDefault="00A775F3"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4C52" w14:textId="5FE4C4B3" w:rsidR="00A14DB9" w:rsidRPr="00E70486" w:rsidRDefault="00D53524" w:rsidP="00D53524">
    <w:pPr>
      <w:pStyle w:val="Header"/>
      <w:ind w:left="1620" w:hanging="1620"/>
      <w:rPr>
        <w:rFonts w:ascii="Times New Roman" w:hAnsi="Times New Roman"/>
        <w:lang w:val="en-US"/>
      </w:rPr>
    </w:pPr>
    <w:r>
      <w:rPr>
        <w:rFonts w:ascii="Times New Roman" w:hAnsi="Times New Roman"/>
        <w:lang w:val="en-US"/>
      </w:rPr>
      <w:t>Aiyelabegan</w:t>
    </w:r>
    <w:r w:rsidR="00E70486">
      <w:rPr>
        <w:rFonts w:ascii="Times New Roman" w:hAnsi="Times New Roman"/>
        <w:lang w:val="en-US"/>
      </w:rPr>
      <w:t xml:space="preserve"> et al</w:t>
    </w:r>
    <w:r w:rsidR="006B72B0" w:rsidRPr="006B72B0">
      <w:rPr>
        <w:rFonts w:ascii="Times New Roman" w:hAnsi="Times New Roman"/>
        <w:lang w:val="en-US"/>
      </w:rPr>
      <w:t xml:space="preserve">: </w:t>
    </w:r>
    <w:r w:rsidR="009B0F4A">
      <w:rPr>
        <w:rFonts w:ascii="Times New Roman" w:hAnsi="Times New Roman"/>
        <w:lang w:val="en-US"/>
      </w:rPr>
      <w:t xml:space="preserve"> </w:t>
    </w:r>
    <w:r>
      <w:rPr>
        <w:rFonts w:ascii="Times New Roman" w:hAnsi="Times New Roman"/>
        <w:lang w:val="en-US"/>
      </w:rPr>
      <w:tab/>
    </w:r>
    <w:r w:rsidR="00E70486" w:rsidRPr="00E70486">
      <w:rPr>
        <w:rFonts w:ascii="Times New Roman" w:hAnsi="Times New Roman"/>
        <w:lang w:val="en-US"/>
      </w:rPr>
      <w:t>THE REMOVAL OF BISPHENOL-A FROM SYNTHETIC WASTEWATER USING THIN-FILM COMPOSITE MEMBRANE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00781E74"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7E6407">
      <w:rPr>
        <w:rFonts w:ascii="Times New Roman" w:hAnsi="Times New Roman"/>
        <w:i/>
        <w:lang w:val="en-US"/>
      </w:rPr>
      <w:t>6</w:t>
    </w:r>
    <w:r>
      <w:rPr>
        <w:rFonts w:ascii="Times New Roman" w:hAnsi="Times New Roman"/>
        <w:i/>
      </w:rPr>
      <w:t xml:space="preserve"> </w:t>
    </w:r>
    <w:r w:rsidR="004C070C">
      <w:rPr>
        <w:rFonts w:ascii="Times New Roman" w:hAnsi="Times New Roman"/>
        <w:i/>
        <w:lang w:val="en-US"/>
      </w:rPr>
      <w:t xml:space="preserve">No </w:t>
    </w:r>
    <w:r w:rsidR="00BF1444">
      <w:rPr>
        <w:rFonts w:ascii="Times New Roman" w:hAnsi="Times New Roman"/>
        <w:i/>
        <w:lang w:val="en-US"/>
      </w:rPr>
      <w:t>3</w:t>
    </w:r>
    <w:r w:rsidR="009B0F4A">
      <w:rPr>
        <w:rFonts w:ascii="Times New Roman" w:hAnsi="Times New Roman"/>
        <w:i/>
      </w:rPr>
      <w:t xml:space="preserve"> (20</w:t>
    </w:r>
    <w:r w:rsidR="009B0F4A">
      <w:rPr>
        <w:rFonts w:ascii="Times New Roman" w:hAnsi="Times New Roman"/>
        <w:i/>
        <w:lang w:val="en-MY"/>
      </w:rPr>
      <w:t>2</w:t>
    </w:r>
    <w:r w:rsidR="00BA41B5">
      <w:rPr>
        <w:rFonts w:ascii="Times New Roman" w:hAnsi="Times New Roman"/>
        <w:i/>
        <w:lang w:val="en-MY"/>
      </w:rPr>
      <w:t>2</w:t>
    </w:r>
    <w:r w:rsidRPr="00D75B35">
      <w:rPr>
        <w:rFonts w:ascii="Times New Roman" w:hAnsi="Times New Roman"/>
        <w:i/>
      </w:rPr>
      <w:t xml:space="preserve">): </w:t>
    </w:r>
    <w:r w:rsidR="000C4D60">
      <w:rPr>
        <w:rFonts w:ascii="Times New Roman" w:hAnsi="Times New Roman"/>
        <w:i/>
        <w:lang w:val="en-US"/>
      </w:rPr>
      <w:t>507</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0C4D60">
      <w:rPr>
        <w:rFonts w:ascii="Times New Roman" w:hAnsi="Times New Roman"/>
        <w:i/>
        <w:lang w:val="en-US"/>
      </w:rPr>
      <w:t>519</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792FD" w14:textId="6547F05A" w:rsidR="00331656" w:rsidRPr="00E70486" w:rsidRDefault="00D53524" w:rsidP="00D53524">
    <w:pPr>
      <w:pStyle w:val="Header"/>
      <w:ind w:left="1620" w:hanging="1620"/>
      <w:rPr>
        <w:rFonts w:ascii="Times New Roman" w:hAnsi="Times New Roman"/>
        <w:lang w:val="en-US"/>
      </w:rPr>
    </w:pPr>
    <w:r>
      <w:rPr>
        <w:rFonts w:ascii="Times New Roman" w:hAnsi="Times New Roman"/>
        <w:lang w:val="en-US"/>
      </w:rPr>
      <w:t>Aiyelabegan</w:t>
    </w:r>
    <w:r w:rsidR="00331656">
      <w:rPr>
        <w:rFonts w:ascii="Times New Roman" w:hAnsi="Times New Roman"/>
        <w:lang w:val="en-US"/>
      </w:rPr>
      <w:t xml:space="preserve"> et al</w:t>
    </w:r>
    <w:r w:rsidR="00331656" w:rsidRPr="006B72B0">
      <w:rPr>
        <w:rFonts w:ascii="Times New Roman" w:hAnsi="Times New Roman"/>
        <w:lang w:val="en-US"/>
      </w:rPr>
      <w:t xml:space="preserve">: </w:t>
    </w:r>
    <w:r w:rsidR="00331656">
      <w:rPr>
        <w:rFonts w:ascii="Times New Roman" w:hAnsi="Times New Roman"/>
        <w:lang w:val="en-US"/>
      </w:rPr>
      <w:t xml:space="preserve"> </w:t>
    </w:r>
    <w:r>
      <w:rPr>
        <w:rFonts w:ascii="Times New Roman" w:hAnsi="Times New Roman"/>
        <w:lang w:val="en-US"/>
      </w:rPr>
      <w:tab/>
    </w:r>
    <w:r w:rsidR="00331656" w:rsidRPr="00E70486">
      <w:rPr>
        <w:rFonts w:ascii="Times New Roman" w:hAnsi="Times New Roman"/>
        <w:lang w:val="en-US"/>
      </w:rPr>
      <w:t>THE REMOVAL OF BISPHENOL-A FROM SYNTHETIC WASTEWATER USING THIN-FILM COMPOSITE MEMBRANE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0243CF2"/>
    <w:multiLevelType w:val="hybridMultilevel"/>
    <w:tmpl w:val="B22E360A"/>
    <w:lvl w:ilvl="0" w:tplc="6A223106">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75807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05772">
    <w:abstractNumId w:val="2"/>
  </w:num>
  <w:num w:numId="3" w16cid:durableId="1014039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87E1D"/>
    <w:rsid w:val="00094ADD"/>
    <w:rsid w:val="000C49FF"/>
    <w:rsid w:val="000C4D60"/>
    <w:rsid w:val="000D16A1"/>
    <w:rsid w:val="000D2B0C"/>
    <w:rsid w:val="000E51FC"/>
    <w:rsid w:val="000F77DA"/>
    <w:rsid w:val="001068E8"/>
    <w:rsid w:val="001106D8"/>
    <w:rsid w:val="00117BCD"/>
    <w:rsid w:val="00125C09"/>
    <w:rsid w:val="00132AAF"/>
    <w:rsid w:val="00144F4D"/>
    <w:rsid w:val="00152CEC"/>
    <w:rsid w:val="0016653E"/>
    <w:rsid w:val="00167645"/>
    <w:rsid w:val="001A3275"/>
    <w:rsid w:val="001D035A"/>
    <w:rsid w:val="001D3855"/>
    <w:rsid w:val="001D6F2C"/>
    <w:rsid w:val="00233177"/>
    <w:rsid w:val="00240376"/>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21900"/>
    <w:rsid w:val="00331656"/>
    <w:rsid w:val="003509E2"/>
    <w:rsid w:val="00352D57"/>
    <w:rsid w:val="00360945"/>
    <w:rsid w:val="003609F3"/>
    <w:rsid w:val="00361BAF"/>
    <w:rsid w:val="00362FCE"/>
    <w:rsid w:val="00367D1F"/>
    <w:rsid w:val="003B4FC1"/>
    <w:rsid w:val="003B6019"/>
    <w:rsid w:val="003D585B"/>
    <w:rsid w:val="003E7DA6"/>
    <w:rsid w:val="003F12FF"/>
    <w:rsid w:val="00416354"/>
    <w:rsid w:val="004760D4"/>
    <w:rsid w:val="00482180"/>
    <w:rsid w:val="00494C46"/>
    <w:rsid w:val="004B05D3"/>
    <w:rsid w:val="004B43FF"/>
    <w:rsid w:val="004C070C"/>
    <w:rsid w:val="004C7089"/>
    <w:rsid w:val="004D7E25"/>
    <w:rsid w:val="004F265B"/>
    <w:rsid w:val="00502641"/>
    <w:rsid w:val="005453A6"/>
    <w:rsid w:val="0054578F"/>
    <w:rsid w:val="0056630A"/>
    <w:rsid w:val="005C6768"/>
    <w:rsid w:val="005E4871"/>
    <w:rsid w:val="00601C8A"/>
    <w:rsid w:val="00617AA2"/>
    <w:rsid w:val="006257E5"/>
    <w:rsid w:val="00631AFB"/>
    <w:rsid w:val="00634C25"/>
    <w:rsid w:val="0063542E"/>
    <w:rsid w:val="00637469"/>
    <w:rsid w:val="006416AB"/>
    <w:rsid w:val="0065373D"/>
    <w:rsid w:val="00660445"/>
    <w:rsid w:val="00664F73"/>
    <w:rsid w:val="00666974"/>
    <w:rsid w:val="006768E9"/>
    <w:rsid w:val="00687982"/>
    <w:rsid w:val="006956AB"/>
    <w:rsid w:val="006B3EC8"/>
    <w:rsid w:val="006B72B0"/>
    <w:rsid w:val="006D286E"/>
    <w:rsid w:val="006D695E"/>
    <w:rsid w:val="00714E7A"/>
    <w:rsid w:val="0072450C"/>
    <w:rsid w:val="00725A6A"/>
    <w:rsid w:val="00732772"/>
    <w:rsid w:val="007706A6"/>
    <w:rsid w:val="00777473"/>
    <w:rsid w:val="00785E09"/>
    <w:rsid w:val="007943F3"/>
    <w:rsid w:val="007A0583"/>
    <w:rsid w:val="007A738C"/>
    <w:rsid w:val="007B1349"/>
    <w:rsid w:val="007D45AC"/>
    <w:rsid w:val="007D4BAB"/>
    <w:rsid w:val="007D517A"/>
    <w:rsid w:val="007E25BD"/>
    <w:rsid w:val="007E6407"/>
    <w:rsid w:val="00802C35"/>
    <w:rsid w:val="0082181A"/>
    <w:rsid w:val="0082457A"/>
    <w:rsid w:val="00825624"/>
    <w:rsid w:val="00831CAB"/>
    <w:rsid w:val="0083587A"/>
    <w:rsid w:val="008430FA"/>
    <w:rsid w:val="00846B19"/>
    <w:rsid w:val="00883CC3"/>
    <w:rsid w:val="008B0258"/>
    <w:rsid w:val="008B470E"/>
    <w:rsid w:val="008B5904"/>
    <w:rsid w:val="008D1880"/>
    <w:rsid w:val="008D29BF"/>
    <w:rsid w:val="008E1211"/>
    <w:rsid w:val="008E5BBF"/>
    <w:rsid w:val="008E6968"/>
    <w:rsid w:val="008F45FE"/>
    <w:rsid w:val="008F5B82"/>
    <w:rsid w:val="008F5F0F"/>
    <w:rsid w:val="00911163"/>
    <w:rsid w:val="0091237C"/>
    <w:rsid w:val="009211AF"/>
    <w:rsid w:val="00921742"/>
    <w:rsid w:val="009357B8"/>
    <w:rsid w:val="00953F5D"/>
    <w:rsid w:val="009866F6"/>
    <w:rsid w:val="009A053A"/>
    <w:rsid w:val="009A5862"/>
    <w:rsid w:val="009B0F4A"/>
    <w:rsid w:val="009B143A"/>
    <w:rsid w:val="009B3139"/>
    <w:rsid w:val="009C7A5E"/>
    <w:rsid w:val="009D030D"/>
    <w:rsid w:val="00A02054"/>
    <w:rsid w:val="00A049C6"/>
    <w:rsid w:val="00A13070"/>
    <w:rsid w:val="00A14201"/>
    <w:rsid w:val="00A14DB9"/>
    <w:rsid w:val="00A4762A"/>
    <w:rsid w:val="00A64690"/>
    <w:rsid w:val="00A74A7E"/>
    <w:rsid w:val="00A775F3"/>
    <w:rsid w:val="00A85E24"/>
    <w:rsid w:val="00AA43F9"/>
    <w:rsid w:val="00AD16D0"/>
    <w:rsid w:val="00AD1B8A"/>
    <w:rsid w:val="00AE21A4"/>
    <w:rsid w:val="00AE713F"/>
    <w:rsid w:val="00AF2305"/>
    <w:rsid w:val="00AF2470"/>
    <w:rsid w:val="00AF2821"/>
    <w:rsid w:val="00AF4494"/>
    <w:rsid w:val="00B1121C"/>
    <w:rsid w:val="00B25B65"/>
    <w:rsid w:val="00B2770A"/>
    <w:rsid w:val="00B314AD"/>
    <w:rsid w:val="00B51963"/>
    <w:rsid w:val="00B57BD3"/>
    <w:rsid w:val="00B75BF6"/>
    <w:rsid w:val="00B7735A"/>
    <w:rsid w:val="00B91DE7"/>
    <w:rsid w:val="00BA1F7B"/>
    <w:rsid w:val="00BA41B5"/>
    <w:rsid w:val="00BB58AF"/>
    <w:rsid w:val="00BE6617"/>
    <w:rsid w:val="00BE7C30"/>
    <w:rsid w:val="00BF1444"/>
    <w:rsid w:val="00C055BF"/>
    <w:rsid w:val="00C056F9"/>
    <w:rsid w:val="00C061BC"/>
    <w:rsid w:val="00C2226A"/>
    <w:rsid w:val="00C23746"/>
    <w:rsid w:val="00C4691B"/>
    <w:rsid w:val="00C70C3E"/>
    <w:rsid w:val="00C74D67"/>
    <w:rsid w:val="00C76FD5"/>
    <w:rsid w:val="00C844C6"/>
    <w:rsid w:val="00C94D92"/>
    <w:rsid w:val="00C97340"/>
    <w:rsid w:val="00CA513F"/>
    <w:rsid w:val="00CB3AA6"/>
    <w:rsid w:val="00CE203C"/>
    <w:rsid w:val="00CE2BC6"/>
    <w:rsid w:val="00CF05FF"/>
    <w:rsid w:val="00D10C6A"/>
    <w:rsid w:val="00D24210"/>
    <w:rsid w:val="00D257FB"/>
    <w:rsid w:val="00D340BB"/>
    <w:rsid w:val="00D34708"/>
    <w:rsid w:val="00D36459"/>
    <w:rsid w:val="00D505D5"/>
    <w:rsid w:val="00D53524"/>
    <w:rsid w:val="00D613A2"/>
    <w:rsid w:val="00D62109"/>
    <w:rsid w:val="00D6781A"/>
    <w:rsid w:val="00D75B35"/>
    <w:rsid w:val="00D76E09"/>
    <w:rsid w:val="00D9736F"/>
    <w:rsid w:val="00D9792A"/>
    <w:rsid w:val="00DD0CD5"/>
    <w:rsid w:val="00DD377F"/>
    <w:rsid w:val="00DD7C38"/>
    <w:rsid w:val="00DF1E96"/>
    <w:rsid w:val="00E17D6C"/>
    <w:rsid w:val="00E25547"/>
    <w:rsid w:val="00E3287E"/>
    <w:rsid w:val="00E32ED9"/>
    <w:rsid w:val="00E54D12"/>
    <w:rsid w:val="00E66197"/>
    <w:rsid w:val="00E70486"/>
    <w:rsid w:val="00E74D96"/>
    <w:rsid w:val="00EB3D5D"/>
    <w:rsid w:val="00ED47BD"/>
    <w:rsid w:val="00F121A0"/>
    <w:rsid w:val="00F262EF"/>
    <w:rsid w:val="00F31093"/>
    <w:rsid w:val="00F318AC"/>
    <w:rsid w:val="00F33AB1"/>
    <w:rsid w:val="00F35739"/>
    <w:rsid w:val="00F412AF"/>
    <w:rsid w:val="00F43667"/>
    <w:rsid w:val="00F447A7"/>
    <w:rsid w:val="00F4760B"/>
    <w:rsid w:val="00F82059"/>
    <w:rsid w:val="00FA1613"/>
    <w:rsid w:val="00FB4C59"/>
    <w:rsid w:val="00FB6521"/>
    <w:rsid w:val="00FC44A7"/>
    <w:rsid w:val="00FC5284"/>
    <w:rsid w:val="00FD07AF"/>
    <w:rsid w:val="00FD1278"/>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character" w:styleId="UnresolvedMention">
    <w:name w:val="Unresolved Mention"/>
    <w:basedOn w:val="DefaultParagraphFont"/>
    <w:uiPriority w:val="99"/>
    <w:semiHidden/>
    <w:unhideWhenUsed/>
    <w:rsid w:val="00FA1613"/>
    <w:rPr>
      <w:color w:val="605E5C"/>
      <w:shd w:val="clear" w:color="auto" w:fill="E1DFDD"/>
    </w:rPr>
  </w:style>
  <w:style w:type="paragraph" w:styleId="Bibliography">
    <w:name w:val="Bibliography"/>
    <w:basedOn w:val="Normal"/>
    <w:next w:val="Normal"/>
    <w:uiPriority w:val="37"/>
    <w:semiHidden/>
    <w:unhideWhenUsed/>
    <w:rsid w:val="0063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6.png"/><Relationship Id="rId21" Type="http://schemas.openxmlformats.org/officeDocument/2006/relationships/image" Target="media/image4.png"/><Relationship Id="rId34"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9.xml"/><Relationship Id="rId33" Type="http://schemas.openxmlformats.org/officeDocument/2006/relationships/image" Target="media/image9.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hdphoto" Target="media/hdphoto1.wdp"/><Relationship Id="rId32" Type="http://schemas.openxmlformats.org/officeDocument/2006/relationships/footer" Target="foot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5.png"/><Relationship Id="rId28" Type="http://schemas.openxmlformats.org/officeDocument/2006/relationships/footer" Target="footer10.xml"/><Relationship Id="rId36" Type="http://schemas.openxmlformats.org/officeDocument/2006/relationships/footer" Target="footer16.xml"/><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image" Target="media/image7.jpeg"/><Relationship Id="rId30" Type="http://schemas.openxmlformats.org/officeDocument/2006/relationships/image" Target="media/image8.jpeg"/><Relationship Id="rId35" Type="http://schemas.openxmlformats.org/officeDocument/2006/relationships/footer" Target="foot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5617</Words>
  <Characters>32022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37564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10</cp:revision>
  <dcterms:created xsi:type="dcterms:W3CDTF">2022-06-01T15:54:00Z</dcterms:created>
  <dcterms:modified xsi:type="dcterms:W3CDTF">2022-06-26T15:28:00Z</dcterms:modified>
</cp:coreProperties>
</file>